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F4DEA" w14:textId="77777777" w:rsidR="000B584C" w:rsidRPr="007A7F50" w:rsidRDefault="007A7F50" w:rsidP="007A7F50">
      <w:pPr>
        <w:jc w:val="both"/>
        <w:rPr>
          <w:rFonts w:ascii="Arial Narrow" w:hAnsi="Arial Narrow"/>
          <w:sz w:val="24"/>
          <w:szCs w:val="24"/>
        </w:rPr>
      </w:pPr>
      <w:r w:rsidRPr="007A7F50">
        <w:rPr>
          <w:rFonts w:ascii="Arial Narrow" w:hAnsi="Arial Narrow"/>
          <w:noProof/>
          <w:sz w:val="24"/>
          <w:szCs w:val="24"/>
        </w:rPr>
        <w:drawing>
          <wp:inline distT="0" distB="0" distL="0" distR="0" wp14:anchorId="1F43DB80" wp14:editId="09488476">
            <wp:extent cx="5612130" cy="3003550"/>
            <wp:effectExtent l="0" t="0" r="762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612130" cy="3003550"/>
                    </a:xfrm>
                    <a:prstGeom prst="rect">
                      <a:avLst/>
                    </a:prstGeom>
                  </pic:spPr>
                </pic:pic>
              </a:graphicData>
            </a:graphic>
          </wp:inline>
        </w:drawing>
      </w:r>
    </w:p>
    <w:p w14:paraId="4A3CB8EA" w14:textId="77777777" w:rsidR="000876B2" w:rsidRDefault="000876B2" w:rsidP="007A7F50">
      <w:pPr>
        <w:jc w:val="both"/>
        <w:rPr>
          <w:rFonts w:ascii="Arial Narrow" w:hAnsi="Arial Narrow"/>
          <w:sz w:val="24"/>
          <w:szCs w:val="24"/>
          <w:lang w:val="es-ES"/>
        </w:rPr>
      </w:pPr>
      <w:r w:rsidRPr="000876B2">
        <w:rPr>
          <w:rFonts w:ascii="Arial Narrow" w:hAnsi="Arial Narrow"/>
          <w:sz w:val="24"/>
          <w:szCs w:val="24"/>
          <w:lang w:val="es-ES"/>
        </w:rPr>
        <w:t>Se mantiene la unificación de rentas para personas naturales residentes y la tarifa marginal y progresiva del 0% al 39%. Solo se excluyen las ganancias ocasionales, que tendrán tarifa única del 15%; y las rentas líquidas especiales</w:t>
      </w:r>
      <w:r>
        <w:rPr>
          <w:rFonts w:ascii="Arial Narrow" w:hAnsi="Arial Narrow"/>
          <w:sz w:val="24"/>
          <w:szCs w:val="24"/>
          <w:lang w:val="es-ES"/>
        </w:rPr>
        <w:t>.</w:t>
      </w:r>
    </w:p>
    <w:p w14:paraId="168EB79C" w14:textId="77777777" w:rsidR="000876B2" w:rsidRDefault="000876B2" w:rsidP="000876B2">
      <w:pPr>
        <w:jc w:val="both"/>
        <w:rPr>
          <w:rFonts w:ascii="Arial Narrow" w:hAnsi="Arial Narrow"/>
          <w:sz w:val="24"/>
          <w:szCs w:val="24"/>
          <w:lang w:val="es-ES"/>
        </w:rPr>
      </w:pPr>
      <w:r w:rsidRPr="007A7F50">
        <w:rPr>
          <w:rFonts w:ascii="Arial Narrow" w:hAnsi="Arial Narrow"/>
          <w:sz w:val="24"/>
          <w:szCs w:val="24"/>
          <w:lang w:val="es-ES"/>
        </w:rPr>
        <w:t>Sumatoria de todos los ingresos obtenidos por todo concepto excepto los correspondientes a dividendos y ganancias ocasionales Podrán restarse todas las rentas exentas y las deducciones especiales imputables a esta cédula, siempre que no excedan el cuarenta (40%) del resultado del numeral anterior, que en todo caso no puede exceder de mil trescientos cuarenta (1.340) UVT anuales</w:t>
      </w:r>
    </w:p>
    <w:p w14:paraId="7C26A3E6" w14:textId="77777777" w:rsidR="000876B2" w:rsidRDefault="00C20AFA" w:rsidP="007A7F50">
      <w:pPr>
        <w:jc w:val="both"/>
        <w:rPr>
          <w:rFonts w:ascii="Arial Narrow" w:hAnsi="Arial Narrow"/>
          <w:sz w:val="24"/>
          <w:szCs w:val="24"/>
          <w:lang w:val="es-ES"/>
        </w:rPr>
      </w:pPr>
      <w:r w:rsidRPr="00C20AFA">
        <w:rPr>
          <w:rFonts w:ascii="Arial Narrow" w:hAnsi="Arial Narrow"/>
          <w:sz w:val="24"/>
          <w:szCs w:val="24"/>
          <w:lang w:val="es-ES"/>
        </w:rPr>
        <w:t>Límite de renta exenta laboral: se mantiene como porcentaje exento el 25% de los pagos laborales, pero disminuye el límite 2.880 UVT anuales (240 mensuales) a 790 UVT.</w:t>
      </w:r>
    </w:p>
    <w:p w14:paraId="716AB2A7" w14:textId="77777777" w:rsidR="00C20AFA" w:rsidRPr="00C20AFA" w:rsidRDefault="00C20AFA" w:rsidP="00C20AFA">
      <w:pPr>
        <w:jc w:val="center"/>
        <w:rPr>
          <w:rFonts w:ascii="Arial Narrow" w:hAnsi="Arial Narrow"/>
          <w:b/>
          <w:sz w:val="24"/>
          <w:szCs w:val="24"/>
          <w:u w:val="single"/>
          <w:lang w:val="es-ES"/>
        </w:rPr>
      </w:pPr>
      <w:r w:rsidRPr="00C20AFA">
        <w:rPr>
          <w:rFonts w:ascii="Arial Narrow" w:hAnsi="Arial Narrow"/>
          <w:b/>
          <w:sz w:val="24"/>
          <w:szCs w:val="24"/>
          <w:u w:val="single"/>
          <w:lang w:val="es-ES"/>
        </w:rPr>
        <w:t>Renta líquida de la cédula general:</w:t>
      </w:r>
    </w:p>
    <w:p w14:paraId="25549380" w14:textId="77777777" w:rsidR="00C20AFA" w:rsidRPr="00C20AFA" w:rsidRDefault="00C20AFA" w:rsidP="00C20AFA">
      <w:pPr>
        <w:jc w:val="both"/>
        <w:rPr>
          <w:rFonts w:ascii="Arial Narrow" w:hAnsi="Arial Narrow"/>
          <w:sz w:val="24"/>
          <w:szCs w:val="24"/>
          <w:lang w:val="es-ES"/>
        </w:rPr>
      </w:pPr>
      <w:r w:rsidRPr="00C20AFA">
        <w:rPr>
          <w:rFonts w:ascii="Arial Narrow" w:hAnsi="Arial Narrow"/>
          <w:sz w:val="24"/>
          <w:szCs w:val="24"/>
          <w:lang w:val="es-ES"/>
        </w:rPr>
        <w:t>Para su determinación se suman todos los ingresos salvo los de dividendos y ganancias ocasionales (en este punto, esto no se modifica).</w:t>
      </w:r>
    </w:p>
    <w:p w14:paraId="38AB5F74" w14:textId="77777777" w:rsidR="00C20AFA" w:rsidRPr="00C20AFA" w:rsidRDefault="00C20AFA" w:rsidP="00C20AFA">
      <w:pPr>
        <w:jc w:val="both"/>
        <w:rPr>
          <w:rFonts w:ascii="Arial Narrow" w:hAnsi="Arial Narrow"/>
          <w:sz w:val="24"/>
          <w:szCs w:val="24"/>
          <w:lang w:val="es-ES"/>
        </w:rPr>
      </w:pPr>
      <w:r w:rsidRPr="00C20AFA">
        <w:rPr>
          <w:rFonts w:ascii="Arial Narrow" w:hAnsi="Arial Narrow"/>
          <w:sz w:val="24"/>
          <w:szCs w:val="24"/>
          <w:lang w:val="es-ES"/>
        </w:rPr>
        <w:t>Se mantiene el porcentaje máximo de rentas exentas y deducciones del 40% de ingresos menos ingresos no constitutivos de renta ni ganancia ocasional (INCRNGO), pero se disminuye el límite del valor máximo a disminuir de 5.040 UVT anuales a 1.340 UVT.</w:t>
      </w:r>
    </w:p>
    <w:p w14:paraId="2179C9B2" w14:textId="77777777" w:rsidR="00C20AFA" w:rsidRPr="00C20AFA" w:rsidRDefault="00C20AFA" w:rsidP="00C20AFA">
      <w:pPr>
        <w:jc w:val="both"/>
        <w:rPr>
          <w:rFonts w:ascii="Arial Narrow" w:hAnsi="Arial Narrow"/>
          <w:sz w:val="24"/>
          <w:szCs w:val="24"/>
          <w:lang w:val="es-ES"/>
        </w:rPr>
      </w:pPr>
      <w:r w:rsidRPr="00C20AFA">
        <w:rPr>
          <w:rFonts w:ascii="Arial Narrow" w:hAnsi="Arial Narrow"/>
          <w:sz w:val="24"/>
          <w:szCs w:val="24"/>
          <w:lang w:val="es-ES"/>
        </w:rPr>
        <w:t>Se excluyen del límite general aplicable a las deducciones aquellas que puede hacer el trabajador de 72 UVT por concepto de dependientes, hasta un máximo de cuatro (4) dependientes. El concepto de dependientes incluye a los hijos en situación de dependencia por factores físicos o psicológicos certificados por Medicina Legal mayores de 18 años (antes era para mayores de 23).</w:t>
      </w:r>
      <w:r w:rsidRPr="00C20AFA">
        <w:rPr>
          <w:rFonts w:ascii="Arial" w:hAnsi="Arial" w:cs="Arial"/>
          <w:sz w:val="24"/>
          <w:szCs w:val="24"/>
          <w:lang w:val="es-ES"/>
        </w:rPr>
        <w:t>‍</w:t>
      </w:r>
    </w:p>
    <w:p w14:paraId="583B825C" w14:textId="77777777" w:rsidR="00C20AFA" w:rsidRPr="00C20AFA" w:rsidRDefault="00C20AFA" w:rsidP="00C20AFA">
      <w:pPr>
        <w:jc w:val="both"/>
        <w:rPr>
          <w:rFonts w:ascii="Arial Narrow" w:hAnsi="Arial Narrow"/>
          <w:sz w:val="24"/>
          <w:szCs w:val="24"/>
          <w:lang w:val="es-ES"/>
        </w:rPr>
      </w:pPr>
      <w:r w:rsidRPr="00C20AFA">
        <w:rPr>
          <w:rFonts w:ascii="Arial Narrow" w:hAnsi="Arial Narrow"/>
          <w:sz w:val="24"/>
          <w:szCs w:val="24"/>
          <w:lang w:val="es-ES"/>
        </w:rPr>
        <w:t xml:space="preserve">Deducción por adquisición de bienes y/o servicios: en la cédula general se permitirá la deducción del 1% del valor de las adquisiciones sin exceder de 240 UVT anuales, sin importar que tengan o no relación de causalidad con la actividad productora de renta. No obstante, dicha deducción debe ser soportada mediante facturación electrónica de venta y se deben pagar por medios electrónicos, entre </w:t>
      </w:r>
      <w:r w:rsidRPr="00C20AFA">
        <w:rPr>
          <w:rFonts w:ascii="Arial Narrow" w:hAnsi="Arial Narrow"/>
          <w:sz w:val="24"/>
          <w:szCs w:val="24"/>
          <w:lang w:val="es-ES"/>
        </w:rPr>
        <w:lastRenderedPageBreak/>
        <w:t>otros requisitos. Esta no se tendrá en cuenta para el cálculo de retención en la fuente, no puede dar lugar a pérdidas y no está sujeta al límite del 40% o 1.340 UVT anuales.</w:t>
      </w:r>
    </w:p>
    <w:p w14:paraId="7E04F54F" w14:textId="77777777" w:rsidR="00C20AFA" w:rsidRPr="000876B2" w:rsidRDefault="00C20AFA" w:rsidP="00C20AFA">
      <w:pPr>
        <w:jc w:val="both"/>
        <w:rPr>
          <w:rFonts w:ascii="Arial Narrow" w:hAnsi="Arial Narrow"/>
          <w:sz w:val="24"/>
          <w:szCs w:val="24"/>
          <w:lang w:val="es-ES"/>
        </w:rPr>
      </w:pPr>
      <w:r w:rsidRPr="00C20AFA">
        <w:rPr>
          <w:rFonts w:ascii="Arial Narrow" w:hAnsi="Arial Narrow"/>
          <w:sz w:val="24"/>
          <w:szCs w:val="24"/>
          <w:lang w:val="es-ES"/>
        </w:rPr>
        <w:t>La DIAN podrá fijar topes de costos y gastos deducibles que se estimarán 60% de los ingresos brutos. En caso de superar estos topes, debe señalarse expresamente en la declaración de renta correspondiente. El incumplimiento de esta medida será castigado con la sanción por no enviar información o enviarla con errores del artículo 651 del ET.</w:t>
      </w:r>
    </w:p>
    <w:sectPr w:rsidR="00C20AFA" w:rsidRPr="000876B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EED"/>
    <w:rsid w:val="000876B2"/>
    <w:rsid w:val="000B584C"/>
    <w:rsid w:val="0020356B"/>
    <w:rsid w:val="00432EED"/>
    <w:rsid w:val="00542E4C"/>
    <w:rsid w:val="007A7F50"/>
    <w:rsid w:val="00865847"/>
    <w:rsid w:val="00C20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75EBC"/>
  <w15:chartTrackingRefBased/>
  <w15:docId w15:val="{F394DCC9-593A-46E4-9315-9C87F8FDF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905991">
      <w:bodyDiv w:val="1"/>
      <w:marLeft w:val="0"/>
      <w:marRight w:val="0"/>
      <w:marTop w:val="0"/>
      <w:marBottom w:val="0"/>
      <w:divBdr>
        <w:top w:val="none" w:sz="0" w:space="0" w:color="auto"/>
        <w:left w:val="none" w:sz="0" w:space="0" w:color="auto"/>
        <w:bottom w:val="none" w:sz="0" w:space="0" w:color="auto"/>
        <w:right w:val="none" w:sz="0" w:space="0" w:color="auto"/>
      </w:divBdr>
    </w:div>
    <w:div w:id="1619334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384</Words>
  <Characters>2113</Characters>
  <Application>Microsoft Office Word</Application>
  <DocSecurity>0</DocSecurity>
  <Lines>17</Lines>
  <Paragraphs>4</Paragraphs>
  <ScaleCrop>false</ScaleCrop>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Diego Sanchez</cp:lastModifiedBy>
  <cp:revision>2</cp:revision>
  <dcterms:created xsi:type="dcterms:W3CDTF">2023-09-11T13:23:00Z</dcterms:created>
  <dcterms:modified xsi:type="dcterms:W3CDTF">2023-09-11T13:23:00Z</dcterms:modified>
</cp:coreProperties>
</file>