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4B7D9B" w14:textId="77777777" w:rsidR="00A35E5B" w:rsidRPr="008D1A7B" w:rsidRDefault="00A35E5B" w:rsidP="008D1A7B">
      <w:pPr>
        <w:pStyle w:val="concordanciasc-texto-conc"/>
        <w:shd w:val="clear" w:color="auto" w:fill="FFFFFF"/>
        <w:spacing w:before="0" w:beforeAutospacing="0" w:after="0" w:afterAutospacing="0" w:line="276" w:lineRule="auto"/>
        <w:ind w:left="390" w:right="300"/>
        <w:jc w:val="both"/>
        <w:rPr>
          <w:rFonts w:ascii="Arial" w:hAnsi="Arial" w:cs="Arial"/>
          <w:lang w:val="es-MX"/>
        </w:rPr>
      </w:pPr>
      <w:r w:rsidRPr="008D1A7B">
        <w:rPr>
          <w:rStyle w:val="finalbold"/>
          <w:rFonts w:ascii="Arial" w:hAnsi="Arial" w:cs="Arial"/>
          <w:b/>
          <w:bCs/>
          <w:lang w:val="es-MX"/>
        </w:rPr>
        <w:t>ARTÍCULO 1.2.1.18.61. CRITERIOS PARA DETERMINAR LA VINCULACIÓN ECONÓMICA Y DETERMINACIÓN DEL PATRIMONIO LÍQUIDO PARA EFECTOS DE LA APLICACIÓN DEL ARTÍCULO 118-1 DEL ESTATUTO TRIBUTARIO. </w:t>
      </w:r>
      <w:r w:rsidRPr="008D1A7B">
        <w:rPr>
          <w:rStyle w:val="finalbold--italic"/>
          <w:rFonts w:ascii="Arial" w:hAnsi="Arial" w:cs="Arial"/>
          <w:b/>
          <w:bCs/>
          <w:i/>
          <w:iCs/>
          <w:lang w:val="es-MX"/>
        </w:rPr>
        <w:t>(Artículo sustituido por el artículo 1 del </w:t>
      </w:r>
      <w:hyperlink r:id="rId4" w:tgtFrame="_blank" w:history="1">
        <w:r w:rsidRPr="008D1A7B">
          <w:rPr>
            <w:rStyle w:val="finalvin-articulo"/>
            <w:rFonts w:ascii="Arial" w:hAnsi="Arial" w:cs="Arial"/>
            <w:b/>
            <w:bCs/>
            <w:i/>
            <w:iCs/>
            <w:u w:val="single"/>
            <w:lang w:val="es-MX"/>
          </w:rPr>
          <w:t>Decreto Reglamentario 761 de 29 de mayo de 2020</w:t>
        </w:r>
      </w:hyperlink>
      <w:r w:rsidRPr="008D1A7B">
        <w:rPr>
          <w:rStyle w:val="finalbold--italic"/>
          <w:rFonts w:ascii="Arial" w:hAnsi="Arial" w:cs="Arial"/>
          <w:b/>
          <w:bCs/>
          <w:i/>
          <w:iCs/>
          <w:lang w:val="es-MX"/>
        </w:rPr>
        <w:t>). </w:t>
      </w:r>
      <w:r w:rsidRPr="008D1A7B">
        <w:rPr>
          <w:rFonts w:ascii="Arial" w:hAnsi="Arial" w:cs="Arial"/>
          <w:lang w:val="es-MX"/>
        </w:rPr>
        <w:t>Los criterios para determinar la vinculación económica serán los establecidos en el artículo 260-1 del Estatuto Tributario.</w:t>
      </w:r>
    </w:p>
    <w:p w14:paraId="2E1E5390" w14:textId="77777777" w:rsidR="00A35E5B" w:rsidRDefault="00A35E5B" w:rsidP="008D1A7B">
      <w:pPr>
        <w:pStyle w:val="concordanciasc-texto-conc"/>
        <w:shd w:val="clear" w:color="auto" w:fill="FFFFFF"/>
        <w:spacing w:before="150" w:beforeAutospacing="0" w:after="150" w:afterAutospacing="0" w:line="276" w:lineRule="auto"/>
        <w:ind w:left="390" w:right="300"/>
        <w:jc w:val="both"/>
        <w:rPr>
          <w:rFonts w:ascii="Arial" w:hAnsi="Arial" w:cs="Arial"/>
          <w:lang w:val="es-MX"/>
        </w:rPr>
      </w:pPr>
      <w:r w:rsidRPr="008D1A7B">
        <w:rPr>
          <w:rFonts w:ascii="Arial" w:hAnsi="Arial" w:cs="Arial"/>
          <w:lang w:val="es-MX"/>
        </w:rPr>
        <w:t>El patrimonio líquido se determinará de acuerdo con lo dispuesto en el artículo 282 del Estatuto Tributario.</w:t>
      </w:r>
    </w:p>
    <w:p w14:paraId="5C789440" w14:textId="77777777" w:rsidR="001B0E83" w:rsidRPr="001B0E83" w:rsidRDefault="001B0E83" w:rsidP="001B0E83">
      <w:pPr>
        <w:pStyle w:val="concordanciasc-texto-conc"/>
        <w:shd w:val="clear" w:color="auto" w:fill="FFFFFF"/>
        <w:spacing w:before="150" w:after="150" w:line="276" w:lineRule="auto"/>
        <w:ind w:left="390" w:right="300"/>
        <w:jc w:val="both"/>
        <w:rPr>
          <w:rFonts w:ascii="Arial" w:hAnsi="Arial" w:cs="Arial"/>
          <w:lang w:val="es-MX"/>
        </w:rPr>
      </w:pPr>
      <w:r w:rsidRPr="001B0E83">
        <w:rPr>
          <w:rFonts w:ascii="Arial" w:hAnsi="Arial" w:cs="Arial"/>
          <w:lang w:val="es-MX"/>
        </w:rPr>
        <w:t xml:space="preserve">ARTÍCULO 260-1. </w:t>
      </w:r>
      <w:r w:rsidRPr="006464BC">
        <w:rPr>
          <w:rFonts w:ascii="Arial" w:hAnsi="Arial" w:cs="Arial"/>
          <w:highlight w:val="yellow"/>
          <w:lang w:val="es-MX"/>
        </w:rPr>
        <w:t>CRITERIOS DE VINCULACIÓN</w:t>
      </w:r>
      <w:r w:rsidRPr="001B0E83">
        <w:rPr>
          <w:rFonts w:ascii="Arial" w:hAnsi="Arial" w:cs="Arial"/>
          <w:lang w:val="es-MX"/>
        </w:rPr>
        <w:t>. (Artículo modificado por el artículo 111 de la Ley 1607 de 26 de diciembre de 2012). Para efectos del impuesto sobre la renta y complementarios, se considera que existe vinculación cuando un contribuyente se encuentra en uno o más de los siguientes casos:</w:t>
      </w:r>
    </w:p>
    <w:p w14:paraId="18DC4C65" w14:textId="77777777" w:rsidR="001B0E83" w:rsidRPr="001B0E83" w:rsidRDefault="001B0E83" w:rsidP="001B0E83">
      <w:pPr>
        <w:pStyle w:val="concordanciasc-texto-conc"/>
        <w:shd w:val="clear" w:color="auto" w:fill="FFFFFF"/>
        <w:spacing w:before="150" w:after="150" w:line="276" w:lineRule="auto"/>
        <w:ind w:left="390" w:right="300"/>
        <w:jc w:val="both"/>
        <w:rPr>
          <w:rFonts w:ascii="Arial" w:hAnsi="Arial" w:cs="Arial"/>
          <w:lang w:val="es-MX"/>
        </w:rPr>
      </w:pPr>
      <w:r w:rsidRPr="001B0E83">
        <w:rPr>
          <w:rFonts w:ascii="Arial" w:hAnsi="Arial" w:cs="Arial"/>
          <w:lang w:val="es-MX"/>
        </w:rPr>
        <w:t>1. Subordinadas.</w:t>
      </w:r>
    </w:p>
    <w:p w14:paraId="566B7CCE" w14:textId="77777777" w:rsidR="001B0E83" w:rsidRPr="001B0E83" w:rsidRDefault="001B0E83" w:rsidP="001B0E83">
      <w:pPr>
        <w:pStyle w:val="concordanciasc-texto-conc"/>
        <w:shd w:val="clear" w:color="auto" w:fill="FFFFFF"/>
        <w:spacing w:before="150" w:after="150" w:line="276" w:lineRule="auto"/>
        <w:ind w:left="390" w:right="300"/>
        <w:jc w:val="both"/>
        <w:rPr>
          <w:rFonts w:ascii="Arial" w:hAnsi="Arial" w:cs="Arial"/>
          <w:lang w:val="es-MX"/>
        </w:rPr>
      </w:pPr>
      <w:r w:rsidRPr="001B0E83">
        <w:rPr>
          <w:rFonts w:ascii="Arial" w:hAnsi="Arial" w:cs="Arial"/>
          <w:lang w:val="es-MX"/>
        </w:rPr>
        <w:t>a) Una entidad será subordinada o controlada cuando su poder de decisión se encuentre sometido a la voluntad de otra u otras personas o entidades que serán su matriz o controlante, bien sea directamente, caso en el cual aquella se denominará filial, o con el concurso o por intermedio de las subordinadas de la matriz, en cuyo caso se llamará subsidiaria;</w:t>
      </w:r>
    </w:p>
    <w:p w14:paraId="749FDAED" w14:textId="77777777" w:rsidR="001B0E83" w:rsidRPr="001B0E83" w:rsidRDefault="001B0E83" w:rsidP="001B0E83">
      <w:pPr>
        <w:pStyle w:val="concordanciasc-texto-conc"/>
        <w:shd w:val="clear" w:color="auto" w:fill="FFFFFF"/>
        <w:spacing w:before="150" w:after="150" w:line="276" w:lineRule="auto"/>
        <w:ind w:left="390" w:right="300"/>
        <w:jc w:val="both"/>
        <w:rPr>
          <w:rFonts w:ascii="Arial" w:hAnsi="Arial" w:cs="Arial"/>
          <w:lang w:val="es-MX"/>
        </w:rPr>
      </w:pPr>
      <w:r w:rsidRPr="001B0E83">
        <w:rPr>
          <w:rFonts w:ascii="Arial" w:hAnsi="Arial" w:cs="Arial"/>
          <w:lang w:val="es-MX"/>
        </w:rPr>
        <w:t>b) Será subordinada una sociedad cuando se encuentre en uno o más de los siguientes casos:</w:t>
      </w:r>
    </w:p>
    <w:p w14:paraId="339EAC1C" w14:textId="77777777" w:rsidR="001B0E83" w:rsidRPr="001B0E83" w:rsidRDefault="001B0E83" w:rsidP="001B0E83">
      <w:pPr>
        <w:pStyle w:val="concordanciasc-texto-conc"/>
        <w:shd w:val="clear" w:color="auto" w:fill="FFFFFF"/>
        <w:spacing w:before="150" w:after="150" w:line="276" w:lineRule="auto"/>
        <w:ind w:left="390" w:right="300"/>
        <w:jc w:val="both"/>
        <w:rPr>
          <w:rFonts w:ascii="Arial" w:hAnsi="Arial" w:cs="Arial"/>
          <w:lang w:val="es-MX"/>
        </w:rPr>
      </w:pPr>
      <w:r w:rsidRPr="001B0E83">
        <w:rPr>
          <w:rFonts w:ascii="Arial" w:hAnsi="Arial" w:cs="Arial"/>
          <w:lang w:val="es-MX"/>
        </w:rPr>
        <w:t>i) Cuando más del 50% de su capital pertenezca a la matriz, directamente o por intermedio o con el concurso de sus subordinadas, o de las subordinadas de estas. Para tal efecto, no se computarán las acciones con dividendo preferencial y sin derecho a voto;</w:t>
      </w:r>
    </w:p>
    <w:p w14:paraId="693D8B4E" w14:textId="77777777" w:rsidR="001B0E83" w:rsidRPr="001B0E83" w:rsidRDefault="001B0E83" w:rsidP="001B0E83">
      <w:pPr>
        <w:pStyle w:val="concordanciasc-texto-conc"/>
        <w:shd w:val="clear" w:color="auto" w:fill="FFFFFF"/>
        <w:spacing w:before="150" w:after="150" w:line="276" w:lineRule="auto"/>
        <w:ind w:left="390" w:right="300"/>
        <w:jc w:val="both"/>
        <w:rPr>
          <w:rFonts w:ascii="Arial" w:hAnsi="Arial" w:cs="Arial"/>
          <w:lang w:val="es-MX"/>
        </w:rPr>
      </w:pPr>
      <w:r w:rsidRPr="001B0E83">
        <w:rPr>
          <w:rFonts w:ascii="Arial" w:hAnsi="Arial" w:cs="Arial"/>
          <w:lang w:val="es-MX"/>
        </w:rPr>
        <w:t>ii) Cuando la matriz y las subordinadas tengan conjunta o separadamente el derecho de emitir los votos constitutivos de la mayoría mínima decisoria en la junta de socios o en la asamblea, o tengan el número de votos necesarios para elegir la mayoría de miembros de la junta directiva, si la hubiere;</w:t>
      </w:r>
    </w:p>
    <w:p w14:paraId="79162711" w14:textId="77777777" w:rsidR="001B0E83" w:rsidRPr="001B0E83" w:rsidRDefault="001B0E83" w:rsidP="001B0E83">
      <w:pPr>
        <w:pStyle w:val="concordanciasc-texto-conc"/>
        <w:shd w:val="clear" w:color="auto" w:fill="FFFFFF"/>
        <w:spacing w:before="150" w:after="150" w:line="276" w:lineRule="auto"/>
        <w:ind w:left="390" w:right="300"/>
        <w:jc w:val="both"/>
        <w:rPr>
          <w:rFonts w:ascii="Arial" w:hAnsi="Arial" w:cs="Arial"/>
          <w:lang w:val="es-MX"/>
        </w:rPr>
      </w:pPr>
      <w:r w:rsidRPr="001B0E83">
        <w:rPr>
          <w:rFonts w:ascii="Arial" w:hAnsi="Arial" w:cs="Arial"/>
          <w:lang w:val="es-MX"/>
        </w:rPr>
        <w:t>iii) Cuando la matriz, directamente o por intermedio o con el concurso de las subordinadas, en razón de un acto o negocio con la sociedad controlada o con sus socios, ejerza influencia dominante en las decisiones de los órganos de administración de la sociedad;</w:t>
      </w:r>
    </w:p>
    <w:p w14:paraId="61E5C16B" w14:textId="77777777" w:rsidR="001B0E83" w:rsidRPr="001B0E83" w:rsidRDefault="001B0E83" w:rsidP="001B0E83">
      <w:pPr>
        <w:pStyle w:val="concordanciasc-texto-conc"/>
        <w:shd w:val="clear" w:color="auto" w:fill="FFFFFF"/>
        <w:spacing w:before="150" w:after="150" w:line="276" w:lineRule="auto"/>
        <w:ind w:left="390" w:right="300"/>
        <w:jc w:val="both"/>
        <w:rPr>
          <w:rFonts w:ascii="Arial" w:hAnsi="Arial" w:cs="Arial"/>
          <w:lang w:val="es-MX"/>
        </w:rPr>
      </w:pPr>
    </w:p>
    <w:p w14:paraId="463A04A8" w14:textId="77777777" w:rsidR="001B0E83" w:rsidRPr="001B0E83" w:rsidRDefault="001B0E83" w:rsidP="001B0E83">
      <w:pPr>
        <w:pStyle w:val="concordanciasc-texto-conc"/>
        <w:shd w:val="clear" w:color="auto" w:fill="FFFFFF"/>
        <w:spacing w:before="150" w:after="150" w:line="276" w:lineRule="auto"/>
        <w:ind w:left="390" w:right="300"/>
        <w:jc w:val="both"/>
        <w:rPr>
          <w:rFonts w:ascii="Arial" w:hAnsi="Arial" w:cs="Arial"/>
          <w:lang w:val="es-MX"/>
        </w:rPr>
      </w:pPr>
      <w:r w:rsidRPr="001B0E83">
        <w:rPr>
          <w:rFonts w:ascii="Arial" w:hAnsi="Arial" w:cs="Arial"/>
          <w:lang w:val="es-MX"/>
        </w:rPr>
        <w:t>iv) Igualmente habrá subordinación, cuando el control conforme a los supuestos previstos en el presente artículo, sea ejercido por una o varias personas naturales o jurídicas o entidades o esquemas de naturaleza no societario, bien sea directamente o por intermedio o con el concurso de entidades en las cuales esta posean más del cincuenta (50%) del capital o configuren la mayoría mínima para la toma de decisiones o ejerzan influencia dominante en la dirección o toma de decisiones de la entidad;</w:t>
      </w:r>
    </w:p>
    <w:p w14:paraId="3AD17241" w14:textId="77777777" w:rsidR="001B0E83" w:rsidRPr="001B0E83" w:rsidRDefault="001B0E83" w:rsidP="001B0E83">
      <w:pPr>
        <w:pStyle w:val="concordanciasc-texto-conc"/>
        <w:shd w:val="clear" w:color="auto" w:fill="FFFFFF"/>
        <w:spacing w:before="150" w:after="150" w:line="276" w:lineRule="auto"/>
        <w:ind w:left="390" w:right="300"/>
        <w:jc w:val="both"/>
        <w:rPr>
          <w:rFonts w:ascii="Arial" w:hAnsi="Arial" w:cs="Arial"/>
          <w:lang w:val="es-MX"/>
        </w:rPr>
      </w:pPr>
      <w:r w:rsidRPr="001B0E83">
        <w:rPr>
          <w:rFonts w:ascii="Arial" w:hAnsi="Arial" w:cs="Arial"/>
          <w:lang w:val="es-MX"/>
        </w:rPr>
        <w:t>v) Igualmente habrá subordinación cuando una misma persona natural o unas mismas personas naturales o jurídicas, o un mismo vehículo no societario o unos mismos vehículos no societarios, conjunta o separadamente, tengan derecho a percibir el cincuenta por ciento de las utilidades de la sociedad subordinada.</w:t>
      </w:r>
    </w:p>
    <w:p w14:paraId="1018FD8F" w14:textId="77777777" w:rsidR="001B0E83" w:rsidRPr="001B0E83" w:rsidRDefault="001B0E83" w:rsidP="001B0E83">
      <w:pPr>
        <w:pStyle w:val="concordanciasc-texto-conc"/>
        <w:shd w:val="clear" w:color="auto" w:fill="FFFFFF"/>
        <w:spacing w:before="150" w:after="150" w:line="276" w:lineRule="auto"/>
        <w:ind w:left="390" w:right="300"/>
        <w:jc w:val="both"/>
        <w:rPr>
          <w:rFonts w:ascii="Arial" w:hAnsi="Arial" w:cs="Arial"/>
          <w:lang w:val="es-MX"/>
        </w:rPr>
      </w:pPr>
      <w:r w:rsidRPr="001B0E83">
        <w:rPr>
          <w:rFonts w:ascii="Arial" w:hAnsi="Arial" w:cs="Arial"/>
          <w:lang w:val="es-MX"/>
        </w:rPr>
        <w:t>2. Sucursales, respecto de sus oficinas principales.</w:t>
      </w:r>
    </w:p>
    <w:p w14:paraId="29C4178A" w14:textId="77777777" w:rsidR="001B0E83" w:rsidRPr="001B0E83" w:rsidRDefault="001B0E83" w:rsidP="001B0E83">
      <w:pPr>
        <w:pStyle w:val="concordanciasc-texto-conc"/>
        <w:shd w:val="clear" w:color="auto" w:fill="FFFFFF"/>
        <w:spacing w:before="150" w:after="150" w:line="276" w:lineRule="auto"/>
        <w:ind w:left="390" w:right="300"/>
        <w:jc w:val="both"/>
        <w:rPr>
          <w:rFonts w:ascii="Arial" w:hAnsi="Arial" w:cs="Arial"/>
          <w:lang w:val="es-MX"/>
        </w:rPr>
      </w:pPr>
      <w:r w:rsidRPr="001B0E83">
        <w:rPr>
          <w:rFonts w:ascii="Arial" w:hAnsi="Arial" w:cs="Arial"/>
          <w:lang w:val="es-MX"/>
        </w:rPr>
        <w:t>3. Agencias, respecto de las sociedades a las que pertenezcan.</w:t>
      </w:r>
    </w:p>
    <w:p w14:paraId="62C7D2A3" w14:textId="77777777" w:rsidR="001B0E83" w:rsidRPr="001B0E83" w:rsidRDefault="001B0E83" w:rsidP="001B0E83">
      <w:pPr>
        <w:pStyle w:val="concordanciasc-texto-conc"/>
        <w:shd w:val="clear" w:color="auto" w:fill="FFFFFF"/>
        <w:spacing w:before="150" w:after="150" w:line="276" w:lineRule="auto"/>
        <w:ind w:left="390" w:right="300"/>
        <w:jc w:val="both"/>
        <w:rPr>
          <w:rFonts w:ascii="Arial" w:hAnsi="Arial" w:cs="Arial"/>
          <w:lang w:val="es-MX"/>
        </w:rPr>
      </w:pPr>
      <w:r w:rsidRPr="001B0E83">
        <w:rPr>
          <w:rFonts w:ascii="Arial" w:hAnsi="Arial" w:cs="Arial"/>
          <w:lang w:val="es-MX"/>
        </w:rPr>
        <w:t>4. Establecimientos permanentes, respecto de la empresa cuya actividad realizan en todo o en parte.</w:t>
      </w:r>
    </w:p>
    <w:p w14:paraId="26E89853" w14:textId="77777777" w:rsidR="001B0E83" w:rsidRPr="001B0E83" w:rsidRDefault="001B0E83" w:rsidP="001B0E83">
      <w:pPr>
        <w:pStyle w:val="concordanciasc-texto-conc"/>
        <w:shd w:val="clear" w:color="auto" w:fill="FFFFFF"/>
        <w:spacing w:before="150" w:after="150" w:line="276" w:lineRule="auto"/>
        <w:ind w:left="390" w:right="300"/>
        <w:jc w:val="both"/>
        <w:rPr>
          <w:rFonts w:ascii="Arial" w:hAnsi="Arial" w:cs="Arial"/>
          <w:lang w:val="es-MX"/>
        </w:rPr>
      </w:pPr>
      <w:r w:rsidRPr="001B0E83">
        <w:rPr>
          <w:rFonts w:ascii="Arial" w:hAnsi="Arial" w:cs="Arial"/>
          <w:lang w:val="es-MX"/>
        </w:rPr>
        <w:t>5. Otros casos de Vinculación Económica:</w:t>
      </w:r>
    </w:p>
    <w:p w14:paraId="44286B37" w14:textId="77777777" w:rsidR="001B0E83" w:rsidRPr="001B0E83" w:rsidRDefault="001B0E83" w:rsidP="001B0E83">
      <w:pPr>
        <w:pStyle w:val="concordanciasc-texto-conc"/>
        <w:shd w:val="clear" w:color="auto" w:fill="FFFFFF"/>
        <w:spacing w:before="150" w:after="150" w:line="276" w:lineRule="auto"/>
        <w:ind w:left="390" w:right="300"/>
        <w:jc w:val="both"/>
        <w:rPr>
          <w:rFonts w:ascii="Arial" w:hAnsi="Arial" w:cs="Arial"/>
          <w:lang w:val="es-MX"/>
        </w:rPr>
      </w:pPr>
      <w:r w:rsidRPr="001B0E83">
        <w:rPr>
          <w:rFonts w:ascii="Arial" w:hAnsi="Arial" w:cs="Arial"/>
          <w:lang w:val="es-MX"/>
        </w:rPr>
        <w:t>a) Cuando la operación tiene lugar entre dos subordinadas de una misma matriz;</w:t>
      </w:r>
    </w:p>
    <w:p w14:paraId="5DA5E642" w14:textId="77777777" w:rsidR="001B0E83" w:rsidRPr="001B0E83" w:rsidRDefault="001B0E83" w:rsidP="001B0E83">
      <w:pPr>
        <w:pStyle w:val="concordanciasc-texto-conc"/>
        <w:shd w:val="clear" w:color="auto" w:fill="FFFFFF"/>
        <w:spacing w:before="150" w:after="150" w:line="276" w:lineRule="auto"/>
        <w:ind w:left="390" w:right="300"/>
        <w:jc w:val="both"/>
        <w:rPr>
          <w:rFonts w:ascii="Arial" w:hAnsi="Arial" w:cs="Arial"/>
          <w:lang w:val="es-MX"/>
        </w:rPr>
      </w:pPr>
      <w:r w:rsidRPr="001B0E83">
        <w:rPr>
          <w:rFonts w:ascii="Arial" w:hAnsi="Arial" w:cs="Arial"/>
          <w:lang w:val="es-MX"/>
        </w:rPr>
        <w:t>b) Cuando la operación tiene lugar entre dos subordinadas que pertenezcan directa o indirectamente a una misma persona natural o jurídica o entidades o esquemas de naturaleza no societaria;</w:t>
      </w:r>
    </w:p>
    <w:p w14:paraId="407F648B" w14:textId="77777777" w:rsidR="001B0E83" w:rsidRPr="001B0E83" w:rsidRDefault="001B0E83" w:rsidP="001B0E83">
      <w:pPr>
        <w:pStyle w:val="concordanciasc-texto-conc"/>
        <w:shd w:val="clear" w:color="auto" w:fill="FFFFFF"/>
        <w:spacing w:before="150" w:after="150" w:line="276" w:lineRule="auto"/>
        <w:ind w:left="390" w:right="300"/>
        <w:jc w:val="both"/>
        <w:rPr>
          <w:rFonts w:ascii="Arial" w:hAnsi="Arial" w:cs="Arial"/>
          <w:lang w:val="es-MX"/>
        </w:rPr>
      </w:pPr>
      <w:r w:rsidRPr="001B0E83">
        <w:rPr>
          <w:rFonts w:ascii="Arial" w:hAnsi="Arial" w:cs="Arial"/>
          <w:lang w:val="es-MX"/>
        </w:rPr>
        <w:t>c) Cuando la operación se lleva a cabo entre dos empresas en las cuales una misma persona natural o jurídica participa directa o indirectamente en la administración, el control o el capital de ambas. Una persona natural o jurídica puede participar directa o indirectamente en la administración, el control o el capital de otra cuando i) posea, directa o indirectamente, más del 50% del capital de esa empresa, o, ii) tenga la capacidad de controlar las decisiones de negocio de la empresa;</w:t>
      </w:r>
    </w:p>
    <w:p w14:paraId="7240F7EB" w14:textId="77777777" w:rsidR="001B0E83" w:rsidRPr="001B0E83" w:rsidRDefault="001B0E83" w:rsidP="001B0E83">
      <w:pPr>
        <w:pStyle w:val="concordanciasc-texto-conc"/>
        <w:shd w:val="clear" w:color="auto" w:fill="FFFFFF"/>
        <w:spacing w:before="150" w:after="150" w:line="276" w:lineRule="auto"/>
        <w:ind w:left="390" w:right="300"/>
        <w:jc w:val="both"/>
        <w:rPr>
          <w:rFonts w:ascii="Arial" w:hAnsi="Arial" w:cs="Arial"/>
          <w:lang w:val="es-MX"/>
        </w:rPr>
      </w:pPr>
    </w:p>
    <w:p w14:paraId="4173E0E4" w14:textId="77777777" w:rsidR="001B0E83" w:rsidRPr="001B0E83" w:rsidRDefault="001B0E83" w:rsidP="001B0E83">
      <w:pPr>
        <w:pStyle w:val="concordanciasc-texto-conc"/>
        <w:shd w:val="clear" w:color="auto" w:fill="FFFFFF"/>
        <w:spacing w:before="150" w:after="150" w:line="276" w:lineRule="auto"/>
        <w:ind w:left="390" w:right="300"/>
        <w:jc w:val="both"/>
        <w:rPr>
          <w:rFonts w:ascii="Arial" w:hAnsi="Arial" w:cs="Arial"/>
          <w:lang w:val="es-MX"/>
        </w:rPr>
      </w:pPr>
      <w:r w:rsidRPr="001B0E83">
        <w:rPr>
          <w:rFonts w:ascii="Arial" w:hAnsi="Arial" w:cs="Arial"/>
          <w:lang w:val="es-MX"/>
        </w:rPr>
        <w:lastRenderedPageBreak/>
        <w:t>d) Cuando la operación tiene lugar entre dos empresas cuyo capital pertenezca directa o indirectamente en más del cincuenta por ciento (50%) a personas ligadas entre sí por matrimonio, o por parentesco hasta el segundo grado de consanguinidad o afinidad, o único civil;</w:t>
      </w:r>
    </w:p>
    <w:p w14:paraId="158761AC" w14:textId="77777777" w:rsidR="001B0E83" w:rsidRPr="001B0E83" w:rsidRDefault="001B0E83" w:rsidP="001B0E83">
      <w:pPr>
        <w:pStyle w:val="concordanciasc-texto-conc"/>
        <w:shd w:val="clear" w:color="auto" w:fill="FFFFFF"/>
        <w:spacing w:before="150" w:after="150" w:line="276" w:lineRule="auto"/>
        <w:ind w:left="390" w:right="300"/>
        <w:jc w:val="both"/>
        <w:rPr>
          <w:rFonts w:ascii="Arial" w:hAnsi="Arial" w:cs="Arial"/>
          <w:lang w:val="es-MX"/>
        </w:rPr>
      </w:pPr>
      <w:r w:rsidRPr="001B0E83">
        <w:rPr>
          <w:rFonts w:ascii="Arial" w:hAnsi="Arial" w:cs="Arial"/>
          <w:lang w:val="es-MX"/>
        </w:rPr>
        <w:t>e) Cuando la operación se realice entre vinculados a través de terceros no vinculados;</w:t>
      </w:r>
    </w:p>
    <w:p w14:paraId="05BACAF8" w14:textId="77777777" w:rsidR="001B0E83" w:rsidRPr="001B0E83" w:rsidRDefault="001B0E83" w:rsidP="001B0E83">
      <w:pPr>
        <w:pStyle w:val="concordanciasc-texto-conc"/>
        <w:shd w:val="clear" w:color="auto" w:fill="FFFFFF"/>
        <w:spacing w:before="150" w:after="150" w:line="276" w:lineRule="auto"/>
        <w:ind w:left="390" w:right="300"/>
        <w:jc w:val="both"/>
        <w:rPr>
          <w:rFonts w:ascii="Arial" w:hAnsi="Arial" w:cs="Arial"/>
          <w:lang w:val="es-MX"/>
        </w:rPr>
      </w:pPr>
      <w:r w:rsidRPr="001B0E83">
        <w:rPr>
          <w:rFonts w:ascii="Arial" w:hAnsi="Arial" w:cs="Arial"/>
          <w:lang w:val="es-MX"/>
        </w:rPr>
        <w:t>f) Cuando más del 50% de los ingresos brutos provengan de forma individual o conjunta de sus socios o accionistas, comuneros, asociados, suscriptores o similares;</w:t>
      </w:r>
    </w:p>
    <w:p w14:paraId="6A094A82" w14:textId="77777777" w:rsidR="001B0E83" w:rsidRPr="001B0E83" w:rsidRDefault="001B0E83" w:rsidP="001B0E83">
      <w:pPr>
        <w:pStyle w:val="concordanciasc-texto-conc"/>
        <w:shd w:val="clear" w:color="auto" w:fill="FFFFFF"/>
        <w:spacing w:before="150" w:after="150" w:line="276" w:lineRule="auto"/>
        <w:ind w:left="390" w:right="300"/>
        <w:jc w:val="both"/>
        <w:rPr>
          <w:rFonts w:ascii="Arial" w:hAnsi="Arial" w:cs="Arial"/>
          <w:lang w:val="es-MX"/>
        </w:rPr>
      </w:pPr>
      <w:r w:rsidRPr="001B0E83">
        <w:rPr>
          <w:rFonts w:ascii="Arial" w:hAnsi="Arial" w:cs="Arial"/>
          <w:lang w:val="es-MX"/>
        </w:rPr>
        <w:t>g) Cuando existan consorcios, uniones temporales, cuentas en participación, otras formas asociativas que no den origen a personas jurídicas y demás contratos de colaboración empresarial.</w:t>
      </w:r>
    </w:p>
    <w:p w14:paraId="017C42D5" w14:textId="77777777" w:rsidR="001B0E83" w:rsidRDefault="001B0E83" w:rsidP="001B0E83">
      <w:pPr>
        <w:pStyle w:val="concordanciasc-texto-conc"/>
        <w:shd w:val="clear" w:color="auto" w:fill="FFFFFF"/>
        <w:spacing w:before="150" w:beforeAutospacing="0" w:after="150" w:afterAutospacing="0" w:line="276" w:lineRule="auto"/>
        <w:ind w:left="390" w:right="300"/>
        <w:jc w:val="both"/>
        <w:rPr>
          <w:rFonts w:ascii="Arial" w:hAnsi="Arial" w:cs="Arial"/>
          <w:lang w:val="es-MX"/>
        </w:rPr>
      </w:pPr>
      <w:r w:rsidRPr="001B0E83">
        <w:rPr>
          <w:rFonts w:ascii="Arial" w:hAnsi="Arial" w:cs="Arial"/>
          <w:lang w:val="es-MX"/>
        </w:rPr>
        <w:t>La vinculación se predica de todas las sociedades y vehículos o entidades no societarias que conforman el grupo, aunque su matriz esté domiciliada en el exterior.</w:t>
      </w:r>
    </w:p>
    <w:p w14:paraId="171CA48C" w14:textId="77777777" w:rsidR="001B0E83" w:rsidRPr="008D1A7B" w:rsidRDefault="001B0E83" w:rsidP="008D1A7B">
      <w:pPr>
        <w:pStyle w:val="concordanciasc-texto-conc"/>
        <w:shd w:val="clear" w:color="auto" w:fill="FFFFFF"/>
        <w:spacing w:before="150" w:beforeAutospacing="0" w:after="150" w:afterAutospacing="0" w:line="276" w:lineRule="auto"/>
        <w:ind w:left="390" w:right="300"/>
        <w:jc w:val="both"/>
        <w:rPr>
          <w:rFonts w:ascii="Arial" w:hAnsi="Arial" w:cs="Arial"/>
          <w:lang w:val="es-MX"/>
        </w:rPr>
      </w:pPr>
    </w:p>
    <w:p w14:paraId="40E1470F" w14:textId="77777777" w:rsidR="00A35E5B" w:rsidRPr="008D1A7B" w:rsidRDefault="00A35E5B" w:rsidP="008D1A7B">
      <w:pPr>
        <w:pStyle w:val="concordanciasc-texto-conc"/>
        <w:shd w:val="clear" w:color="auto" w:fill="FFFFFF"/>
        <w:spacing w:before="0" w:beforeAutospacing="0" w:after="0" w:afterAutospacing="0" w:line="276" w:lineRule="auto"/>
        <w:ind w:left="390" w:right="300"/>
        <w:jc w:val="both"/>
        <w:rPr>
          <w:rFonts w:ascii="Arial" w:hAnsi="Arial" w:cs="Arial"/>
          <w:lang w:val="es-MX"/>
        </w:rPr>
      </w:pPr>
      <w:r w:rsidRPr="008D1A7B">
        <w:rPr>
          <w:rStyle w:val="finalbold"/>
          <w:rFonts w:ascii="Arial" w:hAnsi="Arial" w:cs="Arial"/>
          <w:b/>
          <w:bCs/>
          <w:lang w:val="es-MX"/>
        </w:rPr>
        <w:t>ARTÍCULO 1.2.1.18.62. DETERMINACIÓN DEL MONTO TOTAL PROMEDIO DE LAS DEUDAS. </w:t>
      </w:r>
      <w:r w:rsidRPr="008D1A7B">
        <w:rPr>
          <w:rStyle w:val="finalbold--italic"/>
          <w:rFonts w:ascii="Arial" w:hAnsi="Arial" w:cs="Arial"/>
          <w:b/>
          <w:bCs/>
          <w:i/>
          <w:iCs/>
          <w:lang w:val="es-MX"/>
        </w:rPr>
        <w:t>(Artículo sustituido por el artículo 1 del </w:t>
      </w:r>
      <w:hyperlink r:id="rId5" w:tgtFrame="_blank" w:history="1">
        <w:r w:rsidRPr="008D1A7B">
          <w:rPr>
            <w:rStyle w:val="finalvin-articulo"/>
            <w:rFonts w:ascii="Arial" w:hAnsi="Arial" w:cs="Arial"/>
            <w:b/>
            <w:bCs/>
            <w:i/>
            <w:iCs/>
            <w:u w:val="single"/>
            <w:lang w:val="es-MX"/>
          </w:rPr>
          <w:t>Decreto Reglamentario 761 de 29 de mayo de 2020</w:t>
        </w:r>
      </w:hyperlink>
      <w:r w:rsidRPr="008D1A7B">
        <w:rPr>
          <w:rStyle w:val="finalbold--italic"/>
          <w:rFonts w:ascii="Arial" w:hAnsi="Arial" w:cs="Arial"/>
          <w:b/>
          <w:bCs/>
          <w:i/>
          <w:iCs/>
          <w:lang w:val="es-MX"/>
        </w:rPr>
        <w:t>).</w:t>
      </w:r>
      <w:r w:rsidRPr="008D1A7B">
        <w:rPr>
          <w:rFonts w:ascii="Arial" w:hAnsi="Arial" w:cs="Arial"/>
          <w:lang w:val="es-MX"/>
        </w:rPr>
        <w:t> Para efectos de lo previsto en el inciso 2 del artículo 118-1 del Estatuto Tributario, el monto total promedio de las deudas contraídas, directa o indirectamente, a favor de vinculados económicos nacionales o extranjeros se determinará de la siguiente manera:</w:t>
      </w:r>
    </w:p>
    <w:p w14:paraId="1D6FD245" w14:textId="77777777" w:rsidR="00A35E5B" w:rsidRPr="008D1A7B" w:rsidRDefault="00A35E5B" w:rsidP="008D1A7B">
      <w:pPr>
        <w:pStyle w:val="concordancias1-"/>
        <w:shd w:val="clear" w:color="auto" w:fill="FFFFFF"/>
        <w:spacing w:before="0" w:beforeAutospacing="0" w:after="0" w:afterAutospacing="0" w:line="276" w:lineRule="auto"/>
        <w:ind w:left="645" w:right="300" w:hanging="255"/>
        <w:jc w:val="both"/>
        <w:rPr>
          <w:rFonts w:ascii="Arial" w:hAnsi="Arial" w:cs="Arial"/>
          <w:lang w:val="es-MX"/>
        </w:rPr>
      </w:pPr>
      <w:r w:rsidRPr="008D1A7B">
        <w:rPr>
          <w:rStyle w:val="finalbold"/>
          <w:rFonts w:ascii="Arial" w:hAnsi="Arial" w:cs="Arial"/>
          <w:b/>
          <w:bCs/>
          <w:lang w:val="es-MX"/>
        </w:rPr>
        <w:t>1. Para cada una de las deudas con vinculados que generan intereses se identificará:</w:t>
      </w:r>
    </w:p>
    <w:p w14:paraId="65E26BB1" w14:textId="77777777" w:rsidR="00A35E5B" w:rsidRPr="008D1A7B" w:rsidRDefault="00A35E5B" w:rsidP="008D1A7B">
      <w:pPr>
        <w:pStyle w:val="concordanciasa-"/>
        <w:shd w:val="clear" w:color="auto" w:fill="FFFFFF"/>
        <w:spacing w:before="0" w:beforeAutospacing="0" w:after="0" w:afterAutospacing="0" w:line="276" w:lineRule="auto"/>
        <w:ind w:left="900" w:right="300" w:hanging="255"/>
        <w:jc w:val="both"/>
        <w:rPr>
          <w:rFonts w:ascii="Arial" w:hAnsi="Arial" w:cs="Arial"/>
          <w:lang w:val="es-MX"/>
        </w:rPr>
      </w:pPr>
      <w:r w:rsidRPr="008D1A7B">
        <w:rPr>
          <w:rStyle w:val="finalbold"/>
          <w:rFonts w:ascii="Arial" w:hAnsi="Arial" w:cs="Arial"/>
          <w:b/>
          <w:bCs/>
          <w:lang w:val="es-MX"/>
        </w:rPr>
        <w:t>1.1. Permanencia:</w:t>
      </w:r>
      <w:r w:rsidRPr="008D1A7B">
        <w:rPr>
          <w:rFonts w:ascii="Arial" w:hAnsi="Arial" w:cs="Arial"/>
          <w:lang w:val="es-MX"/>
        </w:rPr>
        <w:t> Es el número de días calendario de permanencia de la deuda durante el respectivo año gravable, el cual incluye el día de ingreso de la deuda hasta el día anterior al pago del capital o principal y/o el último día del cierre fiscal. Para las obligaciones que provienen de años anteriores, se entiende que el día de ingreso de la deuda es el primero (1) de enero del año o período gravable.</w:t>
      </w:r>
    </w:p>
    <w:p w14:paraId="3A4A6235" w14:textId="77777777" w:rsidR="00A35E5B" w:rsidRPr="008D1A7B" w:rsidRDefault="00A35E5B" w:rsidP="008D1A7B">
      <w:pPr>
        <w:pStyle w:val="concordanciasa-"/>
        <w:shd w:val="clear" w:color="auto" w:fill="FFFFFF"/>
        <w:spacing w:before="0" w:beforeAutospacing="0" w:after="0" w:afterAutospacing="0" w:line="276" w:lineRule="auto"/>
        <w:ind w:left="900" w:right="300" w:hanging="255"/>
        <w:jc w:val="both"/>
        <w:rPr>
          <w:rFonts w:ascii="Arial" w:hAnsi="Arial" w:cs="Arial"/>
          <w:lang w:val="es-MX"/>
        </w:rPr>
      </w:pPr>
      <w:r w:rsidRPr="008D1A7B">
        <w:rPr>
          <w:rStyle w:val="finalbold"/>
          <w:rFonts w:ascii="Arial" w:hAnsi="Arial" w:cs="Arial"/>
          <w:b/>
          <w:bCs/>
          <w:lang w:val="es-MX"/>
        </w:rPr>
        <w:t>1.2. Base: </w:t>
      </w:r>
      <w:r w:rsidRPr="008D1A7B">
        <w:rPr>
          <w:rFonts w:ascii="Arial" w:hAnsi="Arial" w:cs="Arial"/>
          <w:lang w:val="es-MX"/>
        </w:rPr>
        <w:t>La base es el valor del capital o principal de la deuda sobre el que se liquidan los intereses durante el período de permanencia.</w:t>
      </w:r>
    </w:p>
    <w:p w14:paraId="52A65D3A" w14:textId="77777777" w:rsidR="00A35E5B" w:rsidRPr="008D1A7B" w:rsidRDefault="00A35E5B" w:rsidP="008D1A7B">
      <w:pPr>
        <w:pStyle w:val="concordanciasa-"/>
        <w:shd w:val="clear" w:color="auto" w:fill="FFFFFF"/>
        <w:spacing w:before="0" w:beforeAutospacing="0" w:after="0" w:afterAutospacing="0" w:line="276" w:lineRule="auto"/>
        <w:ind w:left="900" w:right="300" w:hanging="255"/>
        <w:jc w:val="both"/>
        <w:rPr>
          <w:rFonts w:ascii="Arial" w:hAnsi="Arial" w:cs="Arial"/>
          <w:lang w:val="es-MX"/>
        </w:rPr>
      </w:pPr>
      <w:r w:rsidRPr="008D1A7B">
        <w:rPr>
          <w:rStyle w:val="finalbold"/>
          <w:rFonts w:ascii="Arial" w:hAnsi="Arial" w:cs="Arial"/>
          <w:b/>
          <w:bCs/>
          <w:lang w:val="es-MX"/>
        </w:rPr>
        <w:t>1.3. Deuda ponderada: </w:t>
      </w:r>
      <w:r w:rsidRPr="008D1A7B">
        <w:rPr>
          <w:rFonts w:ascii="Arial" w:hAnsi="Arial" w:cs="Arial"/>
          <w:lang w:val="es-MX"/>
        </w:rPr>
        <w:t>La deuda ponderada es el resultado de multiplicar el número de días de permanencia por la base.</w:t>
      </w:r>
    </w:p>
    <w:p w14:paraId="535348F8" w14:textId="77777777" w:rsidR="00A35E5B" w:rsidRPr="008D1A7B" w:rsidRDefault="00A35E5B" w:rsidP="008D1A7B">
      <w:pPr>
        <w:pStyle w:val="concordanciasa--texto"/>
        <w:shd w:val="clear" w:color="auto" w:fill="FFFFFF"/>
        <w:spacing w:before="150" w:beforeAutospacing="0" w:after="150" w:afterAutospacing="0" w:line="276" w:lineRule="auto"/>
        <w:ind w:left="900" w:right="300"/>
        <w:jc w:val="both"/>
        <w:rPr>
          <w:rFonts w:ascii="Arial" w:hAnsi="Arial" w:cs="Arial"/>
          <w:lang w:val="es-MX"/>
        </w:rPr>
      </w:pPr>
      <w:r w:rsidRPr="008D1A7B">
        <w:rPr>
          <w:rFonts w:ascii="Arial" w:hAnsi="Arial" w:cs="Arial"/>
          <w:lang w:val="es-MX"/>
        </w:rPr>
        <w:lastRenderedPageBreak/>
        <w:t>En los casos en que haya amortizaciones o pagos parciales del capital de una misma deuda durante el periodo gravable, la deuda ponderada deberá calcularse en forma separada sobre el saldo por pagar antes de disminuirse el capital con el abono o pago parcial de la deuda, como si se tratara de deudas independientes.</w:t>
      </w:r>
    </w:p>
    <w:p w14:paraId="3D233633" w14:textId="77777777" w:rsidR="00A35E5B" w:rsidRPr="008D1A7B" w:rsidRDefault="00A35E5B" w:rsidP="008D1A7B">
      <w:pPr>
        <w:pStyle w:val="concordancias1-"/>
        <w:shd w:val="clear" w:color="auto" w:fill="FFFFFF"/>
        <w:spacing w:before="0" w:beforeAutospacing="0" w:after="0" w:afterAutospacing="0" w:line="276" w:lineRule="auto"/>
        <w:ind w:left="645" w:right="300" w:hanging="255"/>
        <w:jc w:val="both"/>
        <w:rPr>
          <w:rFonts w:ascii="Arial" w:hAnsi="Arial" w:cs="Arial"/>
          <w:lang w:val="es-MX"/>
        </w:rPr>
      </w:pPr>
      <w:r w:rsidRPr="008D1A7B">
        <w:rPr>
          <w:rStyle w:val="finalbold"/>
          <w:rFonts w:ascii="Arial" w:hAnsi="Arial" w:cs="Arial"/>
          <w:b/>
          <w:bCs/>
          <w:lang w:val="es-MX"/>
        </w:rPr>
        <w:t>2. Deuda ponderada total. </w:t>
      </w:r>
      <w:r w:rsidRPr="008D1A7B">
        <w:rPr>
          <w:rFonts w:ascii="Arial" w:hAnsi="Arial" w:cs="Arial"/>
          <w:lang w:val="es-MX"/>
        </w:rPr>
        <w:t>La deuda ponderada total corresponde a la sumatoria de todas las deudas ponderadas, realizadas con vinculados que generan intereses, calculada de acuerdo con lo previsto en el numeral 1.3 de este artículo.</w:t>
      </w:r>
    </w:p>
    <w:p w14:paraId="0AE30FC8" w14:textId="77777777" w:rsidR="00A35E5B" w:rsidRDefault="00A35E5B" w:rsidP="008D1A7B">
      <w:pPr>
        <w:pStyle w:val="concordancias1-"/>
        <w:shd w:val="clear" w:color="auto" w:fill="FFFFFF"/>
        <w:spacing w:before="0" w:beforeAutospacing="0" w:after="0" w:afterAutospacing="0" w:line="276" w:lineRule="auto"/>
        <w:ind w:left="645" w:right="300" w:hanging="255"/>
        <w:jc w:val="both"/>
        <w:rPr>
          <w:rFonts w:ascii="Arial" w:hAnsi="Arial" w:cs="Arial"/>
          <w:lang w:val="es-MX"/>
        </w:rPr>
      </w:pPr>
      <w:r w:rsidRPr="008D1A7B">
        <w:rPr>
          <w:rStyle w:val="finalbold"/>
          <w:rFonts w:ascii="Arial" w:hAnsi="Arial" w:cs="Arial"/>
          <w:b/>
          <w:bCs/>
          <w:lang w:val="es-MX"/>
        </w:rPr>
        <w:t>3. Monto total promedio de las deudas.</w:t>
      </w:r>
      <w:r w:rsidRPr="008D1A7B">
        <w:rPr>
          <w:rFonts w:ascii="Arial" w:hAnsi="Arial" w:cs="Arial"/>
          <w:lang w:val="es-MX"/>
        </w:rPr>
        <w:t> El monto total promedio de las deudas será el resultado de dividir la deuda ponderada total, calculada de acuerdo con lo previsto en el numeral 2 de este artículo por el número total de días calendario del correspondiente año o período gravable.</w:t>
      </w:r>
    </w:p>
    <w:p w14:paraId="43E1298C" w14:textId="77777777" w:rsidR="008D1A7B" w:rsidRPr="008D1A7B" w:rsidRDefault="008D1A7B" w:rsidP="008D1A7B">
      <w:pPr>
        <w:pStyle w:val="concordancias1-"/>
        <w:shd w:val="clear" w:color="auto" w:fill="FFFFFF"/>
        <w:spacing w:before="0" w:beforeAutospacing="0" w:after="0" w:afterAutospacing="0" w:line="276" w:lineRule="auto"/>
        <w:ind w:left="645" w:right="300" w:hanging="255"/>
        <w:jc w:val="both"/>
        <w:rPr>
          <w:rFonts w:ascii="Arial" w:hAnsi="Arial" w:cs="Arial"/>
          <w:lang w:val="es-MX"/>
        </w:rPr>
      </w:pPr>
    </w:p>
    <w:p w14:paraId="3003BB0C" w14:textId="77777777" w:rsidR="00060B49" w:rsidRPr="008D1A7B" w:rsidRDefault="00060B49" w:rsidP="008D1A7B">
      <w:pPr>
        <w:pStyle w:val="concordanciasc-texto-conc"/>
        <w:shd w:val="clear" w:color="auto" w:fill="FFFFFF"/>
        <w:spacing w:before="0" w:beforeAutospacing="0" w:after="0" w:afterAutospacing="0" w:line="276" w:lineRule="auto"/>
        <w:ind w:left="390" w:right="300"/>
        <w:jc w:val="both"/>
        <w:rPr>
          <w:rFonts w:ascii="Arial" w:hAnsi="Arial" w:cs="Arial"/>
          <w:lang w:val="es-MX"/>
        </w:rPr>
      </w:pPr>
      <w:r w:rsidRPr="008D1A7B">
        <w:rPr>
          <w:rStyle w:val="finalbold"/>
          <w:rFonts w:ascii="Arial" w:hAnsi="Arial" w:cs="Arial"/>
          <w:b/>
          <w:bCs/>
          <w:lang w:val="es-MX"/>
        </w:rPr>
        <w:t>PARÁGRAFO.</w:t>
      </w:r>
      <w:r w:rsidRPr="008D1A7B">
        <w:rPr>
          <w:rFonts w:ascii="Arial" w:hAnsi="Arial" w:cs="Arial"/>
          <w:lang w:val="es-MX"/>
        </w:rPr>
        <w:t> Los contribuyentes que durante el correspondiente período gravable tengan deudas con vinculados económicos que generen intereses en monedas diferentes al peso colombiano, la identificación de la base en pesos se hará de conformidad con lo establecido en el artículo 288 del Estatuto Tributario o la norma que lo modifique, adicione o sustituya y en concordancia con lo previsto en el artículo 1.1.3 de este decreto.</w:t>
      </w:r>
    </w:p>
    <w:p w14:paraId="1A2B9760" w14:textId="77777777" w:rsidR="008D1A7B" w:rsidRDefault="008D1A7B" w:rsidP="008D1A7B">
      <w:pPr>
        <w:pStyle w:val="concordanciasc-texto-conc"/>
        <w:shd w:val="clear" w:color="auto" w:fill="FFFFFF"/>
        <w:spacing w:before="0" w:beforeAutospacing="0" w:after="0" w:afterAutospacing="0" w:line="276" w:lineRule="auto"/>
        <w:ind w:left="390" w:right="300"/>
        <w:jc w:val="both"/>
        <w:rPr>
          <w:rStyle w:val="finalbold"/>
          <w:rFonts w:ascii="Arial" w:hAnsi="Arial" w:cs="Arial"/>
          <w:b/>
          <w:bCs/>
          <w:lang w:val="es-MX"/>
        </w:rPr>
      </w:pPr>
    </w:p>
    <w:p w14:paraId="155AF374" w14:textId="77777777" w:rsidR="00060B49" w:rsidRDefault="00060B49" w:rsidP="008D1A7B">
      <w:pPr>
        <w:pStyle w:val="concordanciasc-texto-conc"/>
        <w:shd w:val="clear" w:color="auto" w:fill="FFFFFF"/>
        <w:spacing w:before="0" w:beforeAutospacing="0" w:after="0" w:afterAutospacing="0" w:line="276" w:lineRule="auto"/>
        <w:ind w:left="390" w:right="300"/>
        <w:jc w:val="both"/>
        <w:rPr>
          <w:rFonts w:ascii="Arial" w:hAnsi="Arial" w:cs="Arial"/>
          <w:lang w:val="es-MX"/>
        </w:rPr>
      </w:pPr>
      <w:r w:rsidRPr="008D1A7B">
        <w:rPr>
          <w:rStyle w:val="finalbold"/>
          <w:rFonts w:ascii="Arial" w:hAnsi="Arial" w:cs="Arial"/>
          <w:b/>
          <w:bCs/>
          <w:highlight w:val="yellow"/>
          <w:lang w:val="es-MX"/>
        </w:rPr>
        <w:t>ARTÍCULO 1.2.1.18.63. PROCEDIMIENTO PARA LA DETERMINACIÓN DE LOS INTERESES NO DEDUCIBLES NI CAPITALIZABLES. </w:t>
      </w:r>
      <w:r w:rsidRPr="008D1A7B">
        <w:rPr>
          <w:rStyle w:val="finalbold--italic"/>
          <w:rFonts w:ascii="Arial" w:hAnsi="Arial" w:cs="Arial"/>
          <w:b/>
          <w:bCs/>
          <w:i/>
          <w:iCs/>
          <w:highlight w:val="yellow"/>
          <w:lang w:val="es-MX"/>
        </w:rPr>
        <w:t>(Artículo</w:t>
      </w:r>
      <w:r w:rsidRPr="008D1A7B">
        <w:rPr>
          <w:rStyle w:val="finalbold--italic"/>
          <w:rFonts w:ascii="Arial" w:hAnsi="Arial" w:cs="Arial"/>
          <w:b/>
          <w:bCs/>
          <w:i/>
          <w:iCs/>
          <w:lang w:val="es-MX"/>
        </w:rPr>
        <w:t xml:space="preserve"> sustituido por el artículo 1 del </w:t>
      </w:r>
      <w:hyperlink r:id="rId6" w:tgtFrame="_blank" w:history="1">
        <w:r w:rsidRPr="008D1A7B">
          <w:rPr>
            <w:rStyle w:val="finalvin-articulo"/>
            <w:rFonts w:ascii="Arial" w:hAnsi="Arial" w:cs="Arial"/>
            <w:b/>
            <w:bCs/>
            <w:i/>
            <w:iCs/>
            <w:u w:val="single"/>
            <w:lang w:val="es-MX"/>
          </w:rPr>
          <w:t>Decreto Reglamentario 761 de 29 de mayo de 2020</w:t>
        </w:r>
      </w:hyperlink>
      <w:r w:rsidRPr="008D1A7B">
        <w:rPr>
          <w:rStyle w:val="finalbold--italic"/>
          <w:rFonts w:ascii="Arial" w:hAnsi="Arial" w:cs="Arial"/>
          <w:b/>
          <w:bCs/>
          <w:i/>
          <w:iCs/>
          <w:lang w:val="es-MX"/>
        </w:rPr>
        <w:t>). </w:t>
      </w:r>
      <w:r w:rsidRPr="008D1A7B">
        <w:rPr>
          <w:rFonts w:ascii="Arial" w:hAnsi="Arial" w:cs="Arial"/>
          <w:lang w:val="es-MX"/>
        </w:rPr>
        <w:t>Para determinar los intereses no deducibles ni capitalizables se aplicará el siguiente procedimiento:</w:t>
      </w:r>
    </w:p>
    <w:p w14:paraId="5D3A57BF" w14:textId="77777777" w:rsidR="008D1A7B" w:rsidRPr="008D1A7B" w:rsidRDefault="008D1A7B" w:rsidP="008D1A7B">
      <w:pPr>
        <w:pStyle w:val="concordanciasc-texto-conc"/>
        <w:shd w:val="clear" w:color="auto" w:fill="FFFFFF"/>
        <w:spacing w:before="0" w:beforeAutospacing="0" w:after="0" w:afterAutospacing="0" w:line="276" w:lineRule="auto"/>
        <w:ind w:left="390" w:right="300"/>
        <w:jc w:val="both"/>
        <w:rPr>
          <w:rFonts w:ascii="Arial" w:hAnsi="Arial" w:cs="Arial"/>
          <w:lang w:val="es-MX"/>
        </w:rPr>
      </w:pPr>
    </w:p>
    <w:p w14:paraId="2245137B" w14:textId="77777777" w:rsidR="00060B49" w:rsidRPr="008D1A7B" w:rsidRDefault="00060B49" w:rsidP="008D1A7B">
      <w:pPr>
        <w:pStyle w:val="concordancias1-"/>
        <w:shd w:val="clear" w:color="auto" w:fill="FFFFFF"/>
        <w:spacing w:before="0" w:beforeAutospacing="0" w:after="0" w:afterAutospacing="0" w:line="276" w:lineRule="auto"/>
        <w:ind w:left="645" w:right="300" w:hanging="255"/>
        <w:jc w:val="both"/>
        <w:rPr>
          <w:rFonts w:ascii="Arial" w:hAnsi="Arial" w:cs="Arial"/>
          <w:lang w:val="es-MX"/>
        </w:rPr>
      </w:pPr>
      <w:r w:rsidRPr="008D1A7B">
        <w:rPr>
          <w:rStyle w:val="finalbold"/>
          <w:rFonts w:ascii="Arial" w:hAnsi="Arial" w:cs="Arial"/>
          <w:b/>
          <w:bCs/>
          <w:lang w:val="es-MX"/>
        </w:rPr>
        <w:t>1. Monto máximo de endeudamiento que genera intereses deducibles o capitalizables:</w:t>
      </w:r>
      <w:r w:rsidRPr="008D1A7B">
        <w:rPr>
          <w:rFonts w:ascii="Arial" w:hAnsi="Arial" w:cs="Arial"/>
          <w:lang w:val="es-MX"/>
        </w:rPr>
        <w:t> El monto máximo de endeudamiento que genera intereses deducibles o capitalizables se determinará tomando el patrimonio líquido determinado a treinta y uno (31) de diciembre del año gravable inmediatamente anterior y multiplicándolo por dos (2).</w:t>
      </w:r>
    </w:p>
    <w:p w14:paraId="4F090809" w14:textId="77777777" w:rsidR="008D1A7B" w:rsidRDefault="008D1A7B" w:rsidP="008D1A7B">
      <w:pPr>
        <w:pStyle w:val="concordancias1-"/>
        <w:shd w:val="clear" w:color="auto" w:fill="FFFFFF"/>
        <w:spacing w:before="0" w:beforeAutospacing="0" w:after="0" w:afterAutospacing="0" w:line="276" w:lineRule="auto"/>
        <w:ind w:left="645" w:right="300" w:hanging="255"/>
        <w:jc w:val="both"/>
        <w:rPr>
          <w:rStyle w:val="finalbold"/>
          <w:rFonts w:ascii="Arial" w:hAnsi="Arial" w:cs="Arial"/>
          <w:b/>
          <w:bCs/>
          <w:lang w:val="es-MX"/>
        </w:rPr>
      </w:pPr>
    </w:p>
    <w:p w14:paraId="28861D82" w14:textId="77777777" w:rsidR="00060B49" w:rsidRPr="008D1A7B" w:rsidRDefault="00060B49" w:rsidP="008D1A7B">
      <w:pPr>
        <w:pStyle w:val="concordancias1-"/>
        <w:shd w:val="clear" w:color="auto" w:fill="FFFFFF"/>
        <w:spacing w:before="0" w:beforeAutospacing="0" w:after="0" w:afterAutospacing="0" w:line="276" w:lineRule="auto"/>
        <w:ind w:left="645" w:right="300" w:hanging="255"/>
        <w:jc w:val="both"/>
        <w:rPr>
          <w:rFonts w:ascii="Arial" w:hAnsi="Arial" w:cs="Arial"/>
          <w:lang w:val="es-MX"/>
        </w:rPr>
      </w:pPr>
      <w:r w:rsidRPr="008D1A7B">
        <w:rPr>
          <w:rStyle w:val="finalbold"/>
          <w:rFonts w:ascii="Arial" w:hAnsi="Arial" w:cs="Arial"/>
          <w:b/>
          <w:bCs/>
          <w:lang w:val="es-MX"/>
        </w:rPr>
        <w:t>2. Exceso de endeudamiento:</w:t>
      </w:r>
      <w:r w:rsidRPr="008D1A7B">
        <w:rPr>
          <w:rFonts w:ascii="Arial" w:hAnsi="Arial" w:cs="Arial"/>
          <w:lang w:val="es-MX"/>
        </w:rPr>
        <w:t> El exceso de endeudamiento se determinará tomando el monto máximo de endeudamiento, determinado conforme con lo previsto en el numeral 1 de este artículo y restándole el monto total promedio de las deudas con vinculados económicos, determinado conforme con lo previsto en el numeral 3 del artículo 1.2.1.18.62 de este decreto cuando a ello haya lugar.</w:t>
      </w:r>
    </w:p>
    <w:p w14:paraId="3C26CEB5" w14:textId="77777777" w:rsidR="008D1A7B" w:rsidRDefault="008D1A7B" w:rsidP="008D1A7B">
      <w:pPr>
        <w:pStyle w:val="concordancias1-"/>
        <w:shd w:val="clear" w:color="auto" w:fill="FFFFFF"/>
        <w:spacing w:before="0" w:beforeAutospacing="0" w:after="0" w:afterAutospacing="0" w:line="276" w:lineRule="auto"/>
        <w:ind w:left="645" w:right="300" w:hanging="255"/>
        <w:jc w:val="both"/>
        <w:rPr>
          <w:rStyle w:val="finalbold"/>
          <w:rFonts w:ascii="Arial" w:hAnsi="Arial" w:cs="Arial"/>
          <w:b/>
          <w:bCs/>
          <w:lang w:val="es-MX"/>
        </w:rPr>
      </w:pPr>
    </w:p>
    <w:p w14:paraId="37D4BE5C" w14:textId="77777777" w:rsidR="00060B49" w:rsidRPr="008D1A7B" w:rsidRDefault="00060B49" w:rsidP="008D1A7B">
      <w:pPr>
        <w:pStyle w:val="concordancias1-"/>
        <w:shd w:val="clear" w:color="auto" w:fill="FFFFFF"/>
        <w:spacing w:before="0" w:beforeAutospacing="0" w:after="0" w:afterAutospacing="0" w:line="276" w:lineRule="auto"/>
        <w:ind w:left="645" w:right="300" w:hanging="255"/>
        <w:jc w:val="both"/>
        <w:rPr>
          <w:rFonts w:ascii="Arial" w:hAnsi="Arial" w:cs="Arial"/>
          <w:lang w:val="es-MX"/>
        </w:rPr>
      </w:pPr>
      <w:r w:rsidRPr="008D1A7B">
        <w:rPr>
          <w:rStyle w:val="finalbold"/>
          <w:rFonts w:ascii="Arial" w:hAnsi="Arial" w:cs="Arial"/>
          <w:b/>
          <w:bCs/>
          <w:lang w:val="es-MX"/>
        </w:rPr>
        <w:lastRenderedPageBreak/>
        <w:t>3. Proporción de intereses no deducibles ni capitalizables:</w:t>
      </w:r>
      <w:r w:rsidRPr="008D1A7B">
        <w:rPr>
          <w:rFonts w:ascii="Arial" w:hAnsi="Arial" w:cs="Arial"/>
          <w:lang w:val="es-MX"/>
        </w:rPr>
        <w:t> La proporción de intereses no deducibles ni capitalizables se determinará dividiendo el exceso de endeudamiento determinado conforme con lo previsto en el numeral 1 de este artículo por el monto total promedio de las deudas con vinculados económicos, determinado conforme con lo previsto en el numeral 3 del artículo 1.2.1.18.62 de este decreto.</w:t>
      </w:r>
    </w:p>
    <w:p w14:paraId="7797A9A2" w14:textId="77777777" w:rsidR="008D1A7B" w:rsidRDefault="008D1A7B" w:rsidP="008D1A7B">
      <w:pPr>
        <w:pStyle w:val="concordancias1-"/>
        <w:shd w:val="clear" w:color="auto" w:fill="FFFFFF"/>
        <w:spacing w:before="0" w:beforeAutospacing="0" w:after="0" w:afterAutospacing="0" w:line="276" w:lineRule="auto"/>
        <w:ind w:left="645" w:right="300" w:hanging="255"/>
        <w:jc w:val="both"/>
        <w:rPr>
          <w:rStyle w:val="finalbold"/>
          <w:rFonts w:ascii="Arial" w:hAnsi="Arial" w:cs="Arial"/>
          <w:b/>
          <w:bCs/>
          <w:lang w:val="es-MX"/>
        </w:rPr>
      </w:pPr>
    </w:p>
    <w:p w14:paraId="1053A05E" w14:textId="77777777" w:rsidR="00060B49" w:rsidRPr="008D1A7B" w:rsidRDefault="00060B49" w:rsidP="008D1A7B">
      <w:pPr>
        <w:pStyle w:val="concordancias1-"/>
        <w:shd w:val="clear" w:color="auto" w:fill="FFFFFF"/>
        <w:spacing w:before="0" w:beforeAutospacing="0" w:after="0" w:afterAutospacing="0" w:line="276" w:lineRule="auto"/>
        <w:ind w:left="645" w:right="300" w:hanging="255"/>
        <w:jc w:val="both"/>
        <w:rPr>
          <w:rFonts w:ascii="Arial" w:hAnsi="Arial" w:cs="Arial"/>
          <w:lang w:val="es-MX"/>
        </w:rPr>
      </w:pPr>
      <w:r w:rsidRPr="008D1A7B">
        <w:rPr>
          <w:rStyle w:val="finalbold"/>
          <w:rFonts w:ascii="Arial" w:hAnsi="Arial" w:cs="Arial"/>
          <w:b/>
          <w:bCs/>
          <w:lang w:val="es-MX"/>
        </w:rPr>
        <w:t>4. Intereses no deducibles ni capitalizables del respectivo período gravable: </w:t>
      </w:r>
      <w:r w:rsidRPr="008D1A7B">
        <w:rPr>
          <w:rFonts w:ascii="Arial" w:hAnsi="Arial" w:cs="Arial"/>
          <w:lang w:val="es-MX"/>
        </w:rPr>
        <w:t>Los intereses no deducibles ni capitalizables del respectivo período gravable se determinarán aplicando la proporción de intereses no deducibles ni capitalizables al total de intereses pagados o abonados en cuenta durante el año o período fiscal objeto de determinación.</w:t>
      </w:r>
    </w:p>
    <w:p w14:paraId="733BFB01" w14:textId="77777777" w:rsidR="00060B49" w:rsidRPr="008D1A7B" w:rsidRDefault="00060B49" w:rsidP="008D1A7B">
      <w:pPr>
        <w:pStyle w:val="concordancias1--texto"/>
        <w:shd w:val="clear" w:color="auto" w:fill="FFFFFF"/>
        <w:spacing w:before="150" w:beforeAutospacing="0" w:after="150" w:afterAutospacing="0" w:line="276" w:lineRule="auto"/>
        <w:ind w:left="645" w:right="300"/>
        <w:jc w:val="both"/>
        <w:rPr>
          <w:rFonts w:ascii="Arial" w:hAnsi="Arial" w:cs="Arial"/>
          <w:lang w:val="es-MX"/>
        </w:rPr>
      </w:pPr>
      <w:r w:rsidRPr="008D1A7B">
        <w:rPr>
          <w:rFonts w:ascii="Arial" w:hAnsi="Arial" w:cs="Arial"/>
          <w:lang w:val="es-MX"/>
        </w:rPr>
        <w:t>Los intereses que no son capitalizables no podrán tratarse como deducibles ni como costo en la declaración del impuesto sobre la renta y complementarios en ningún período gravable.</w:t>
      </w:r>
    </w:p>
    <w:p w14:paraId="5F1952CB" w14:textId="77777777" w:rsidR="00060B49" w:rsidRPr="008D1A7B" w:rsidRDefault="00060B49" w:rsidP="008D1A7B">
      <w:pPr>
        <w:pStyle w:val="concordanciasc-texto-conc"/>
        <w:shd w:val="clear" w:color="auto" w:fill="FFFFFF"/>
        <w:spacing w:before="0" w:beforeAutospacing="0" w:after="0" w:afterAutospacing="0" w:line="276" w:lineRule="auto"/>
        <w:ind w:left="390" w:right="300"/>
        <w:jc w:val="both"/>
        <w:rPr>
          <w:rFonts w:ascii="Arial" w:hAnsi="Arial" w:cs="Arial"/>
          <w:lang w:val="es-MX"/>
        </w:rPr>
      </w:pPr>
      <w:r w:rsidRPr="008D1A7B">
        <w:rPr>
          <w:rStyle w:val="finalbold"/>
          <w:rFonts w:ascii="Arial" w:hAnsi="Arial" w:cs="Arial"/>
          <w:b/>
          <w:bCs/>
          <w:lang w:val="es-MX"/>
        </w:rPr>
        <w:t>PARÁGRAFO.</w:t>
      </w:r>
      <w:r w:rsidRPr="008D1A7B">
        <w:rPr>
          <w:rFonts w:ascii="Arial" w:hAnsi="Arial" w:cs="Arial"/>
          <w:lang w:val="es-MX"/>
        </w:rPr>
        <w:t> Para efectos de determinar los intereses no deducibles ni capitalizables, la diferencia en cambio del capital o principal no se considerará como intereses. La diferencia en cambio de los intereses sí se considerará como interés y se calculará en los términos previstos en el artículo 288 del Estatuto Tributario.</w:t>
      </w:r>
    </w:p>
    <w:p w14:paraId="698A1248" w14:textId="77777777" w:rsidR="00060B49" w:rsidRPr="008D1A7B" w:rsidRDefault="00060B49" w:rsidP="008D1A7B">
      <w:pPr>
        <w:pStyle w:val="concordanciasc-texto-conc"/>
        <w:shd w:val="clear" w:color="auto" w:fill="FFFFFF"/>
        <w:spacing w:before="0" w:beforeAutospacing="0" w:after="0" w:afterAutospacing="0" w:line="276" w:lineRule="auto"/>
        <w:ind w:left="390" w:right="300"/>
        <w:jc w:val="both"/>
        <w:rPr>
          <w:rFonts w:ascii="Arial" w:hAnsi="Arial" w:cs="Arial"/>
          <w:lang w:val="es-MX"/>
        </w:rPr>
      </w:pPr>
    </w:p>
    <w:p w14:paraId="70EC3A81" w14:textId="77777777" w:rsidR="00060B49" w:rsidRPr="008D1A7B" w:rsidRDefault="00060B49" w:rsidP="008D1A7B">
      <w:pPr>
        <w:pStyle w:val="concordanciasc-texto-conc"/>
        <w:shd w:val="clear" w:color="auto" w:fill="FFFFFF"/>
        <w:spacing w:before="0" w:beforeAutospacing="0" w:after="0" w:afterAutospacing="0" w:line="276" w:lineRule="auto"/>
        <w:ind w:left="390" w:right="300"/>
        <w:jc w:val="both"/>
        <w:rPr>
          <w:rFonts w:ascii="Arial" w:hAnsi="Arial" w:cs="Arial"/>
          <w:lang w:val="es-MX"/>
        </w:rPr>
      </w:pPr>
      <w:r w:rsidRPr="008D1A7B">
        <w:rPr>
          <w:rStyle w:val="finalbold"/>
          <w:rFonts w:ascii="Arial" w:hAnsi="Arial" w:cs="Arial"/>
          <w:b/>
          <w:bCs/>
          <w:lang w:val="es-MX"/>
        </w:rPr>
        <w:t>ARTÍCULO 1.2.1.18.64. PROCEDENCIA DE LAS DEDUCCIONES O CAPITALIZACIONES Y CONTENIDO DE LA CERTIFICACIÓN DE QUE TRATA EL PARÁGRAFO 1 DEL ARTÍCULO 118-1 DEL ESTATUTO TRIBUTARIO</w:t>
      </w:r>
      <w:r w:rsidRPr="008D1A7B">
        <w:rPr>
          <w:rFonts w:ascii="Arial" w:hAnsi="Arial" w:cs="Arial"/>
          <w:lang w:val="es-MX"/>
        </w:rPr>
        <w:t>. </w:t>
      </w:r>
      <w:r w:rsidRPr="008D1A7B">
        <w:rPr>
          <w:rStyle w:val="finalbold--italic"/>
          <w:rFonts w:ascii="Arial" w:hAnsi="Arial" w:cs="Arial"/>
          <w:b/>
          <w:bCs/>
          <w:i/>
          <w:iCs/>
          <w:lang w:val="es-MX"/>
        </w:rPr>
        <w:t>(Artículo sustituido por el artículo 1 del </w:t>
      </w:r>
      <w:hyperlink r:id="rId7" w:tgtFrame="_blank" w:history="1">
        <w:r w:rsidRPr="008D1A7B">
          <w:rPr>
            <w:rStyle w:val="finalvin-articulo"/>
            <w:rFonts w:ascii="Arial" w:hAnsi="Arial" w:cs="Arial"/>
            <w:b/>
            <w:bCs/>
            <w:i/>
            <w:iCs/>
            <w:u w:val="single"/>
            <w:lang w:val="es-MX"/>
          </w:rPr>
          <w:t>Decreto Reglamentario 761 de 29 de mayo de 2020</w:t>
        </w:r>
      </w:hyperlink>
      <w:r w:rsidRPr="008D1A7B">
        <w:rPr>
          <w:rStyle w:val="finalbold--italic"/>
          <w:rFonts w:ascii="Arial" w:hAnsi="Arial" w:cs="Arial"/>
          <w:b/>
          <w:bCs/>
          <w:i/>
          <w:iCs/>
          <w:lang w:val="es-MX"/>
        </w:rPr>
        <w:t>). </w:t>
      </w:r>
      <w:r w:rsidRPr="008D1A7B">
        <w:rPr>
          <w:rFonts w:ascii="Arial" w:hAnsi="Arial" w:cs="Arial"/>
          <w:lang w:val="es-MX"/>
        </w:rPr>
        <w:t>Para la procedencia de la deducción o capitalización por intereses de que tratan los artículos 118-1 y 59 del Estatuto Tributario y los artículos 1.2.1.18.61, 1.2.1.18.62 y 1.2.1.18.63, de este decreto, se deberá cumplir con los requisitos para la procedencia de las deducciones, tales como la relación de causalidad con la actividad productora de renta, la proporcionalidad y la necesidad, los cuales deben ser evaluados con criterio comercial en los términos previstos en el artículo 107 del Estatuto Tributario.</w:t>
      </w:r>
    </w:p>
    <w:p w14:paraId="318D6BB6" w14:textId="77777777" w:rsidR="00060B49" w:rsidRPr="008D1A7B" w:rsidRDefault="00060B49" w:rsidP="008D1A7B">
      <w:pPr>
        <w:pStyle w:val="concordanciasc-texto-conc"/>
        <w:shd w:val="clear" w:color="auto" w:fill="FFFFFF"/>
        <w:spacing w:before="150" w:beforeAutospacing="0" w:after="150" w:afterAutospacing="0" w:line="276" w:lineRule="auto"/>
        <w:ind w:left="390" w:right="300"/>
        <w:jc w:val="both"/>
        <w:rPr>
          <w:rFonts w:ascii="Arial" w:hAnsi="Arial" w:cs="Arial"/>
          <w:lang w:val="es-MX"/>
        </w:rPr>
      </w:pPr>
      <w:r w:rsidRPr="008D1A7B">
        <w:rPr>
          <w:rFonts w:ascii="Arial" w:hAnsi="Arial" w:cs="Arial"/>
          <w:lang w:val="es-MX"/>
        </w:rPr>
        <w:t xml:space="preserve">A los contribuyentes del impuesto sobre la renta y complementarios que realicen actividades de factoring en los términos del Decreto 2669 de 2012, compilado en el Decreto 1074 de 2015 Único Reglamentario del Sector Comercio, Industria y Turismo a partir del artículo 2.2.2.2.1, no les aplicará lo previsto en el inciso 2 y los parágrafos 1 y 2 del artículo 118-1 del Estatuto Tributario cuando las actividades de factoring no sean prestadas en más de </w:t>
      </w:r>
      <w:r w:rsidRPr="008D1A7B">
        <w:rPr>
          <w:rFonts w:ascii="Arial" w:hAnsi="Arial" w:cs="Arial"/>
          <w:lang w:val="es-MX"/>
        </w:rPr>
        <w:lastRenderedPageBreak/>
        <w:t>un cincuenta por ciento (50%) a compañías vinculadas económicas en los términos del artículo 260-1 del Estatuto Tributario.</w:t>
      </w:r>
    </w:p>
    <w:p w14:paraId="196A00E8" w14:textId="77777777" w:rsidR="00060B49" w:rsidRPr="008D1A7B" w:rsidRDefault="00060B49" w:rsidP="008D1A7B">
      <w:pPr>
        <w:pStyle w:val="concordanciasc-texto-conc"/>
        <w:shd w:val="clear" w:color="auto" w:fill="FFFFFF"/>
        <w:spacing w:before="150" w:beforeAutospacing="0" w:after="150" w:afterAutospacing="0" w:line="276" w:lineRule="auto"/>
        <w:ind w:left="390" w:right="300"/>
        <w:jc w:val="both"/>
        <w:rPr>
          <w:rFonts w:ascii="Arial" w:hAnsi="Arial" w:cs="Arial"/>
          <w:lang w:val="es-MX"/>
        </w:rPr>
      </w:pPr>
      <w:r w:rsidRPr="008D1A7B">
        <w:rPr>
          <w:rFonts w:ascii="Arial" w:hAnsi="Arial" w:cs="Arial"/>
          <w:lang w:val="es-MX"/>
        </w:rPr>
        <w:t>Cuando se configure alguno de los supuestos establecidos en el parágrafo 1 del artículo 118-1 del Estatuto Tributario, el acreedor deberá expedirle al deudor una certificación, cuando este la solicite, para cada año o periodo gravable. El deudor deberá contar con dicha certificación con anterioridad al vencimiento de la presentación de la declaración del impuesto sobre la renta y complementarios del año gravable objeto de deducción o capitalización.</w:t>
      </w:r>
    </w:p>
    <w:p w14:paraId="12B18B51" w14:textId="77777777" w:rsidR="00060B49" w:rsidRPr="008D1A7B" w:rsidRDefault="00060B49" w:rsidP="008D1A7B">
      <w:pPr>
        <w:pStyle w:val="concordanciasc-texto-conc"/>
        <w:shd w:val="clear" w:color="auto" w:fill="FFFFFF"/>
        <w:spacing w:before="150" w:beforeAutospacing="0" w:after="150" w:afterAutospacing="0" w:line="276" w:lineRule="auto"/>
        <w:ind w:left="390" w:right="300"/>
        <w:jc w:val="both"/>
        <w:rPr>
          <w:rFonts w:ascii="Arial" w:hAnsi="Arial" w:cs="Arial"/>
          <w:lang w:val="es-MX"/>
        </w:rPr>
      </w:pPr>
      <w:r w:rsidRPr="008D1A7B">
        <w:rPr>
          <w:rFonts w:ascii="Arial" w:hAnsi="Arial" w:cs="Arial"/>
          <w:lang w:val="es-MX"/>
        </w:rPr>
        <w:t>La certificación que emita el acreedor deberá contener como mínimo la siguiente información:</w:t>
      </w:r>
    </w:p>
    <w:p w14:paraId="403A5D65" w14:textId="77777777" w:rsidR="00060B49" w:rsidRPr="008D1A7B" w:rsidRDefault="00060B49" w:rsidP="008D1A7B">
      <w:pPr>
        <w:pStyle w:val="concordancias1-"/>
        <w:shd w:val="clear" w:color="auto" w:fill="FFFFFF"/>
        <w:spacing w:before="150" w:beforeAutospacing="0" w:after="150" w:afterAutospacing="0" w:line="276" w:lineRule="auto"/>
        <w:ind w:left="645" w:right="300" w:hanging="255"/>
        <w:jc w:val="both"/>
        <w:rPr>
          <w:rFonts w:ascii="Arial" w:hAnsi="Arial" w:cs="Arial"/>
          <w:lang w:val="es-MX"/>
        </w:rPr>
      </w:pPr>
      <w:r w:rsidRPr="008D1A7B">
        <w:rPr>
          <w:rFonts w:ascii="Arial" w:hAnsi="Arial" w:cs="Arial"/>
          <w:lang w:val="es-MX"/>
        </w:rPr>
        <w:t>1. Fecha y lugar de expedición de la certificación.</w:t>
      </w:r>
    </w:p>
    <w:p w14:paraId="1A1DC3A9" w14:textId="77777777" w:rsidR="00060B49" w:rsidRPr="008D1A7B" w:rsidRDefault="00060B49" w:rsidP="008D1A7B">
      <w:pPr>
        <w:pStyle w:val="concordancias1-"/>
        <w:shd w:val="clear" w:color="auto" w:fill="FFFFFF"/>
        <w:spacing w:before="150" w:beforeAutospacing="0" w:after="150" w:afterAutospacing="0" w:line="276" w:lineRule="auto"/>
        <w:ind w:left="645" w:right="300" w:hanging="255"/>
        <w:jc w:val="both"/>
        <w:rPr>
          <w:rFonts w:ascii="Arial" w:hAnsi="Arial" w:cs="Arial"/>
          <w:lang w:val="es-MX"/>
        </w:rPr>
      </w:pPr>
      <w:r w:rsidRPr="008D1A7B">
        <w:rPr>
          <w:rFonts w:ascii="Arial" w:hAnsi="Arial" w:cs="Arial"/>
          <w:lang w:val="es-MX"/>
        </w:rPr>
        <w:t>2. Identificación de las partes que intervienen en el crédito: nombre o razón social, número de identificación y país de domicilio y/o residencia fiscal.</w:t>
      </w:r>
    </w:p>
    <w:p w14:paraId="02E7E751" w14:textId="77777777" w:rsidR="00060B49" w:rsidRPr="008D1A7B" w:rsidRDefault="00060B49" w:rsidP="008D1A7B">
      <w:pPr>
        <w:pStyle w:val="concordancias1-"/>
        <w:shd w:val="clear" w:color="auto" w:fill="FFFFFF"/>
        <w:spacing w:before="150" w:beforeAutospacing="0" w:after="150" w:afterAutospacing="0" w:line="276" w:lineRule="auto"/>
        <w:ind w:left="645" w:right="300" w:hanging="255"/>
        <w:jc w:val="both"/>
        <w:rPr>
          <w:rFonts w:ascii="Arial" w:hAnsi="Arial" w:cs="Arial"/>
          <w:lang w:val="es-MX"/>
        </w:rPr>
      </w:pPr>
      <w:r w:rsidRPr="008D1A7B">
        <w:rPr>
          <w:rFonts w:ascii="Arial" w:hAnsi="Arial" w:cs="Arial"/>
          <w:lang w:val="es-MX"/>
        </w:rPr>
        <w:t>3. Monto del crédito.</w:t>
      </w:r>
    </w:p>
    <w:p w14:paraId="15A1B564" w14:textId="77777777" w:rsidR="00060B49" w:rsidRPr="008D1A7B" w:rsidRDefault="00060B49" w:rsidP="008D1A7B">
      <w:pPr>
        <w:pStyle w:val="concordancias1-"/>
        <w:shd w:val="clear" w:color="auto" w:fill="FFFFFF"/>
        <w:spacing w:before="150" w:beforeAutospacing="0" w:after="150" w:afterAutospacing="0" w:line="276" w:lineRule="auto"/>
        <w:ind w:left="645" w:right="300" w:hanging="255"/>
        <w:jc w:val="both"/>
        <w:rPr>
          <w:rFonts w:ascii="Arial" w:hAnsi="Arial" w:cs="Arial"/>
          <w:lang w:val="es-MX"/>
        </w:rPr>
      </w:pPr>
      <w:r w:rsidRPr="008D1A7B">
        <w:rPr>
          <w:rFonts w:ascii="Arial" w:hAnsi="Arial" w:cs="Arial"/>
          <w:lang w:val="es-MX"/>
        </w:rPr>
        <w:t>4. Plazo del crédito.</w:t>
      </w:r>
    </w:p>
    <w:p w14:paraId="77B88230" w14:textId="77777777" w:rsidR="00060B49" w:rsidRPr="008D1A7B" w:rsidRDefault="00060B49" w:rsidP="008D1A7B">
      <w:pPr>
        <w:pStyle w:val="concordancias1-"/>
        <w:shd w:val="clear" w:color="auto" w:fill="FFFFFF"/>
        <w:spacing w:before="150" w:beforeAutospacing="0" w:after="150" w:afterAutospacing="0" w:line="276" w:lineRule="auto"/>
        <w:ind w:left="645" w:right="300" w:hanging="255"/>
        <w:jc w:val="both"/>
        <w:rPr>
          <w:rFonts w:ascii="Arial" w:hAnsi="Arial" w:cs="Arial"/>
          <w:lang w:val="es-MX"/>
        </w:rPr>
      </w:pPr>
      <w:r w:rsidRPr="008D1A7B">
        <w:rPr>
          <w:rFonts w:ascii="Arial" w:hAnsi="Arial" w:cs="Arial"/>
          <w:lang w:val="es-MX"/>
        </w:rPr>
        <w:t>5. Tasa de interés.</w:t>
      </w:r>
    </w:p>
    <w:p w14:paraId="7C675981" w14:textId="77777777" w:rsidR="00060B49" w:rsidRPr="008D1A7B" w:rsidRDefault="00060B49" w:rsidP="008D1A7B">
      <w:pPr>
        <w:pStyle w:val="concordancias1-"/>
        <w:shd w:val="clear" w:color="auto" w:fill="FFFFFF"/>
        <w:spacing w:before="150" w:beforeAutospacing="0" w:after="150" w:afterAutospacing="0" w:line="276" w:lineRule="auto"/>
        <w:ind w:left="645" w:right="300" w:hanging="255"/>
        <w:jc w:val="both"/>
        <w:rPr>
          <w:rFonts w:ascii="Arial" w:hAnsi="Arial" w:cs="Arial"/>
          <w:lang w:val="es-MX"/>
        </w:rPr>
      </w:pPr>
      <w:r w:rsidRPr="008D1A7B">
        <w:rPr>
          <w:rFonts w:ascii="Arial" w:hAnsi="Arial" w:cs="Arial"/>
          <w:lang w:val="es-MX"/>
        </w:rPr>
        <w:t>6. Manifestación expresa de:</w:t>
      </w:r>
    </w:p>
    <w:p w14:paraId="23E1A3A0" w14:textId="77777777" w:rsidR="00060B49" w:rsidRPr="008D1A7B" w:rsidRDefault="00060B49" w:rsidP="008D1A7B">
      <w:pPr>
        <w:pStyle w:val="concordanciasa-"/>
        <w:shd w:val="clear" w:color="auto" w:fill="FFFFFF"/>
        <w:spacing w:before="150" w:beforeAutospacing="0" w:after="150" w:afterAutospacing="0" w:line="276" w:lineRule="auto"/>
        <w:ind w:left="900" w:right="300" w:hanging="255"/>
        <w:jc w:val="both"/>
        <w:rPr>
          <w:rFonts w:ascii="Arial" w:hAnsi="Arial" w:cs="Arial"/>
          <w:lang w:val="es-MX"/>
        </w:rPr>
      </w:pPr>
      <w:r w:rsidRPr="008D1A7B">
        <w:rPr>
          <w:rFonts w:ascii="Arial" w:hAnsi="Arial" w:cs="Arial"/>
          <w:lang w:val="es-MX"/>
        </w:rPr>
        <w:t>6.1. Que el (los) crédito(s) no corresponde(n) a operaciones de endeudamiento garantizados por entidades vinculadas mediante un aval, back-to-back, o</w:t>
      </w:r>
    </w:p>
    <w:p w14:paraId="224EEB0C" w14:textId="77777777" w:rsidR="00060B49" w:rsidRPr="008D1A7B" w:rsidRDefault="00060B49" w:rsidP="008D1A7B">
      <w:pPr>
        <w:pStyle w:val="concordanciasa-"/>
        <w:shd w:val="clear" w:color="auto" w:fill="FFFFFF"/>
        <w:spacing w:before="150" w:beforeAutospacing="0" w:after="150" w:afterAutospacing="0" w:line="276" w:lineRule="auto"/>
        <w:ind w:left="900" w:right="300" w:hanging="255"/>
        <w:jc w:val="both"/>
        <w:rPr>
          <w:rFonts w:ascii="Arial" w:hAnsi="Arial" w:cs="Arial"/>
          <w:lang w:val="es-MX"/>
        </w:rPr>
      </w:pPr>
      <w:r w:rsidRPr="008D1A7B">
        <w:rPr>
          <w:rFonts w:ascii="Arial" w:hAnsi="Arial" w:cs="Arial"/>
          <w:lang w:val="es-MX"/>
        </w:rPr>
        <w:t>6.2. En caso de ser vinculadas el (los) crédito(s) no corresponde(n) a operaciones de endeudamiento garantizados mediante un aval del que se derive que el vinculado económico es el acreedor real; o cualquier otra operación en la que sustancialmente dichas vinculadas actúen como acreedoras.</w:t>
      </w:r>
    </w:p>
    <w:p w14:paraId="489BEE7F" w14:textId="77777777" w:rsidR="00060B49" w:rsidRPr="008D1A7B" w:rsidRDefault="00060B49" w:rsidP="008D1A7B">
      <w:pPr>
        <w:pStyle w:val="concordanciasc-texto-conc"/>
        <w:shd w:val="clear" w:color="auto" w:fill="FFFFFF"/>
        <w:spacing w:before="150" w:beforeAutospacing="0" w:after="150" w:afterAutospacing="0" w:line="276" w:lineRule="auto"/>
        <w:ind w:left="390" w:right="300"/>
        <w:jc w:val="both"/>
        <w:rPr>
          <w:rFonts w:ascii="Arial" w:hAnsi="Arial" w:cs="Arial"/>
          <w:lang w:val="es-MX"/>
        </w:rPr>
      </w:pPr>
      <w:r w:rsidRPr="008D1A7B">
        <w:rPr>
          <w:rFonts w:ascii="Arial" w:hAnsi="Arial" w:cs="Arial"/>
          <w:lang w:val="es-MX"/>
        </w:rPr>
        <w:t>La certificación debe ser expedida y suscrita por el representante legal de la entidad acreedora o quien tenga la autorización legal para suscribirla bajo la gravedad de juramento, sin perjuicio de la responsabilidad solidaria y sanciones penales en los casos en que haya lugar. En caso de que la certificación sea emitida en el exterior, se deberá adjuntar la respectiva apostilla.</w:t>
      </w:r>
    </w:p>
    <w:p w14:paraId="21194E63" w14:textId="77777777" w:rsidR="00060B49" w:rsidRPr="008D1A7B" w:rsidRDefault="00060B49" w:rsidP="008D1A7B">
      <w:pPr>
        <w:pStyle w:val="concordanciasc-texto-conc"/>
        <w:shd w:val="clear" w:color="auto" w:fill="FFFFFF"/>
        <w:spacing w:before="150" w:beforeAutospacing="0" w:after="150" w:afterAutospacing="0" w:line="276" w:lineRule="auto"/>
        <w:ind w:left="390" w:right="300"/>
        <w:jc w:val="both"/>
        <w:rPr>
          <w:rFonts w:ascii="Arial" w:hAnsi="Arial" w:cs="Arial"/>
          <w:lang w:val="es-MX"/>
        </w:rPr>
      </w:pPr>
      <w:r w:rsidRPr="008D1A7B">
        <w:rPr>
          <w:rFonts w:ascii="Arial" w:hAnsi="Arial" w:cs="Arial"/>
          <w:lang w:val="es-MX"/>
        </w:rPr>
        <w:t>Cuando el acreedor no sea residente en Colombia deberá aportar el original del documento equivalente al certificado de existencia y representación legal de la empresa.</w:t>
      </w:r>
    </w:p>
    <w:p w14:paraId="62E0F40B" w14:textId="77777777" w:rsidR="00060B49" w:rsidRPr="008D1A7B" w:rsidRDefault="00060B49" w:rsidP="008D1A7B">
      <w:pPr>
        <w:pStyle w:val="concordanciasc-texto-conc"/>
        <w:shd w:val="clear" w:color="auto" w:fill="FFFFFF"/>
        <w:spacing w:before="150" w:beforeAutospacing="0" w:after="150" w:afterAutospacing="0" w:line="276" w:lineRule="auto"/>
        <w:ind w:left="390" w:right="300"/>
        <w:jc w:val="both"/>
        <w:rPr>
          <w:rFonts w:ascii="Arial" w:hAnsi="Arial" w:cs="Arial"/>
          <w:lang w:val="es-MX"/>
        </w:rPr>
      </w:pPr>
      <w:r w:rsidRPr="008D1A7B">
        <w:rPr>
          <w:rFonts w:ascii="Arial" w:hAnsi="Arial" w:cs="Arial"/>
          <w:lang w:val="es-MX"/>
        </w:rPr>
        <w:lastRenderedPageBreak/>
        <w:t>La certificación se expedirá en idioma castellano. Cuando la certificación y documentos anexos se encuentren en idioma distinto, deberán aportarse con su correspondiente traducción oficial y apostilla del Ministerio de Relaciones Exteriores.</w:t>
      </w:r>
    </w:p>
    <w:p w14:paraId="6AFF4028" w14:textId="77777777" w:rsidR="00060B49" w:rsidRPr="008D1A7B" w:rsidRDefault="00060B49" w:rsidP="008D1A7B">
      <w:pPr>
        <w:pStyle w:val="concordanciasc-texto-conc"/>
        <w:shd w:val="clear" w:color="auto" w:fill="FFFFFF"/>
        <w:spacing w:before="0" w:beforeAutospacing="0" w:after="0" w:afterAutospacing="0" w:line="276" w:lineRule="auto"/>
        <w:ind w:left="390" w:right="300"/>
        <w:jc w:val="both"/>
        <w:rPr>
          <w:rFonts w:ascii="Arial" w:hAnsi="Arial" w:cs="Arial"/>
          <w:lang w:val="es-MX"/>
        </w:rPr>
      </w:pPr>
      <w:r w:rsidRPr="008D1A7B">
        <w:rPr>
          <w:rStyle w:val="finalbold"/>
          <w:rFonts w:ascii="Arial" w:hAnsi="Arial" w:cs="Arial"/>
          <w:b/>
          <w:bCs/>
          <w:lang w:val="es-MX"/>
        </w:rPr>
        <w:t>PARÁGRAFO 1.</w:t>
      </w:r>
      <w:r w:rsidRPr="008D1A7B">
        <w:rPr>
          <w:rFonts w:ascii="Arial" w:hAnsi="Arial" w:cs="Arial"/>
          <w:lang w:val="es-MX"/>
        </w:rPr>
        <w:t> La certificación de que trata este artículo deberá estar disponible cuando la Administración Tributaria lo solicite. Cuando se presenten modificaciones en las condiciones del crédito o de las partes intervinientes, deberá expedirse un nuevo certificado por parte del acreedor en los mismos términos descritos en este artículo, y conservar los certificados anteriores, aclarando que se trata de una modificación al certificado inicial.</w:t>
      </w:r>
    </w:p>
    <w:p w14:paraId="5D4D2987" w14:textId="77777777" w:rsidR="00060B49" w:rsidRPr="008D1A7B" w:rsidRDefault="00060B49" w:rsidP="008D1A7B">
      <w:pPr>
        <w:pStyle w:val="concordanciasc-texto-conc"/>
        <w:shd w:val="clear" w:color="auto" w:fill="FFFFFF"/>
        <w:spacing w:before="0" w:beforeAutospacing="0" w:after="0" w:afterAutospacing="0" w:line="276" w:lineRule="auto"/>
        <w:ind w:left="390" w:right="300"/>
        <w:jc w:val="both"/>
        <w:rPr>
          <w:rFonts w:ascii="Arial" w:hAnsi="Arial" w:cs="Arial"/>
          <w:lang w:val="es-MX"/>
        </w:rPr>
      </w:pPr>
      <w:r w:rsidRPr="008D1A7B">
        <w:rPr>
          <w:rStyle w:val="finalbold"/>
          <w:rFonts w:ascii="Arial" w:hAnsi="Arial" w:cs="Arial"/>
          <w:b/>
          <w:bCs/>
          <w:lang w:val="es-MX"/>
        </w:rPr>
        <w:t>PARÁGRAFO 2. </w:t>
      </w:r>
      <w:r w:rsidRPr="008D1A7B">
        <w:rPr>
          <w:rFonts w:ascii="Arial" w:hAnsi="Arial" w:cs="Arial"/>
          <w:lang w:val="es-MX"/>
        </w:rPr>
        <w:t>Para efectos de la certificación de que trata el presente artículo, el deudor podrá comunicarle, previamente a la expedición de la certificación y bajo la gravedad de juramento, a la entidad acreedora, que la obligación derivada de la operación de crédito celebrada no ha sido sustancialmente asumida parcial o totalmente por uno de sus vinculados económicos. La comunicación de que trata este parágrafo no exonera a la entidad acreedora de hacer las verificaciones necesarias para garantizar la veracidad del contenido de la certificación, el deber de emitir la certificación ni la responsabilidad solidaria con el deudor y sanciones penales en los casos en que haya lugar.</w:t>
      </w:r>
    </w:p>
    <w:p w14:paraId="743F0891" w14:textId="77777777" w:rsidR="00060B49" w:rsidRPr="008D1A7B" w:rsidRDefault="00060B49" w:rsidP="008D1A7B">
      <w:pPr>
        <w:pStyle w:val="concordanciasc-texto-conc"/>
        <w:shd w:val="clear" w:color="auto" w:fill="FFFFFF"/>
        <w:spacing w:before="0" w:beforeAutospacing="0" w:after="0" w:afterAutospacing="0" w:line="276" w:lineRule="auto"/>
        <w:ind w:left="390" w:right="300"/>
        <w:jc w:val="both"/>
        <w:rPr>
          <w:rFonts w:ascii="Arial" w:hAnsi="Arial" w:cs="Arial"/>
          <w:lang w:val="es-MX"/>
        </w:rPr>
      </w:pPr>
      <w:r w:rsidRPr="008D1A7B">
        <w:rPr>
          <w:rStyle w:val="finalbold"/>
          <w:rFonts w:ascii="Arial" w:hAnsi="Arial" w:cs="Arial"/>
          <w:b/>
          <w:bCs/>
          <w:lang w:val="es-MX"/>
        </w:rPr>
        <w:t>PARÁGRAFO 3.</w:t>
      </w:r>
      <w:r w:rsidRPr="008D1A7B">
        <w:rPr>
          <w:rFonts w:ascii="Arial" w:hAnsi="Arial" w:cs="Arial"/>
          <w:lang w:val="es-MX"/>
        </w:rPr>
        <w:t> En las operaciones de crédito celebradas con entidades acreedoras del exterior, la certificación de que trata el parágrafo 1 del artículo 118-1 del Estatuto Tributario podrá ser emitida en Colombia por la oficina de representación en el país, siempre que tenga la facultad para suscribirla y cumpla con los requerimientos exigidos en el presente artículo.</w:t>
      </w:r>
    </w:p>
    <w:p w14:paraId="31388B6D" w14:textId="77777777" w:rsidR="00060B49" w:rsidRPr="008D1A7B" w:rsidRDefault="00060B49" w:rsidP="008D1A7B">
      <w:pPr>
        <w:pStyle w:val="concordanciasc-texto-conc"/>
        <w:shd w:val="clear" w:color="auto" w:fill="FFFFFF"/>
        <w:spacing w:before="0" w:beforeAutospacing="0" w:after="0" w:afterAutospacing="0" w:line="276" w:lineRule="auto"/>
        <w:ind w:left="390" w:right="300"/>
        <w:jc w:val="both"/>
        <w:rPr>
          <w:rFonts w:ascii="Arial" w:hAnsi="Arial" w:cs="Arial"/>
          <w:lang w:val="es-MX"/>
        </w:rPr>
      </w:pPr>
      <w:r w:rsidRPr="008D1A7B">
        <w:rPr>
          <w:rStyle w:val="finalbold"/>
          <w:rFonts w:ascii="Arial" w:hAnsi="Arial" w:cs="Arial"/>
          <w:b/>
          <w:bCs/>
          <w:lang w:val="es-MX"/>
        </w:rPr>
        <w:t>PARÁGRAFO 4. </w:t>
      </w:r>
      <w:r w:rsidRPr="008D1A7B">
        <w:rPr>
          <w:rFonts w:ascii="Arial" w:hAnsi="Arial" w:cs="Arial"/>
          <w:lang w:val="es-MX"/>
        </w:rPr>
        <w:t>En el caso de operaciones de crédito sindicadas, el deudor solicitará la certificación de manera individual a cada una de las entidades acreedoras por la proporción de la operación que le corresponda.</w:t>
      </w:r>
    </w:p>
    <w:p w14:paraId="6149AC0A" w14:textId="77777777" w:rsidR="00060B49" w:rsidRPr="008D1A7B" w:rsidRDefault="00060B49" w:rsidP="008D1A7B">
      <w:pPr>
        <w:pStyle w:val="concordancias1-"/>
        <w:shd w:val="clear" w:color="auto" w:fill="FFFFFF"/>
        <w:spacing w:before="0" w:beforeAutospacing="0" w:after="0" w:afterAutospacing="0" w:line="276" w:lineRule="auto"/>
        <w:ind w:left="645" w:right="300" w:hanging="255"/>
        <w:jc w:val="both"/>
        <w:rPr>
          <w:rFonts w:ascii="Arial" w:hAnsi="Arial" w:cs="Arial"/>
          <w:lang w:val="es-MX"/>
        </w:rPr>
      </w:pPr>
    </w:p>
    <w:p w14:paraId="6259D47F" w14:textId="77777777" w:rsidR="00006C8C" w:rsidRPr="008D1A7B" w:rsidRDefault="00006C8C" w:rsidP="008D1A7B">
      <w:pPr>
        <w:spacing w:line="276" w:lineRule="auto"/>
        <w:jc w:val="both"/>
        <w:rPr>
          <w:lang w:val="es-MX"/>
        </w:rPr>
      </w:pPr>
    </w:p>
    <w:sectPr w:rsidR="00006C8C" w:rsidRPr="008D1A7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4476"/>
    <w:rsid w:val="00006C8C"/>
    <w:rsid w:val="00060B49"/>
    <w:rsid w:val="00144476"/>
    <w:rsid w:val="001B0E83"/>
    <w:rsid w:val="003273E0"/>
    <w:rsid w:val="004B0EE9"/>
    <w:rsid w:val="006464BC"/>
    <w:rsid w:val="008D1A7B"/>
    <w:rsid w:val="00A35E5B"/>
    <w:rsid w:val="00AE7D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B1D4C"/>
  <w15:chartTrackingRefBased/>
  <w15:docId w15:val="{B5AA09A8-2169-4DD4-9DFB-25A59CAF8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oncordanciasc-texto-conc">
    <w:name w:val="concordancias_c-texto-conc"/>
    <w:basedOn w:val="Normal"/>
    <w:rsid w:val="00A35E5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finalbold">
    <w:name w:val="final_bold"/>
    <w:basedOn w:val="Fuentedeprrafopredeter"/>
    <w:rsid w:val="00A35E5B"/>
  </w:style>
  <w:style w:type="character" w:customStyle="1" w:styleId="finalbold--italic">
    <w:name w:val="final_bold--italic"/>
    <w:basedOn w:val="Fuentedeprrafopredeter"/>
    <w:rsid w:val="00A35E5B"/>
  </w:style>
  <w:style w:type="character" w:customStyle="1" w:styleId="finalvin-articulo">
    <w:name w:val="final_vin-articulo"/>
    <w:basedOn w:val="Fuentedeprrafopredeter"/>
    <w:rsid w:val="00A35E5B"/>
  </w:style>
  <w:style w:type="paragraph" w:customStyle="1" w:styleId="concordancias1-">
    <w:name w:val="concordancias_1-"/>
    <w:basedOn w:val="Normal"/>
    <w:rsid w:val="00A35E5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oncordanciasa-">
    <w:name w:val="concordancias_a-"/>
    <w:basedOn w:val="Normal"/>
    <w:rsid w:val="00A35E5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oncordanciasa--texto">
    <w:name w:val="concordancias_a--texto"/>
    <w:basedOn w:val="Normal"/>
    <w:rsid w:val="00A35E5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oncordancias1--texto">
    <w:name w:val="concordancias_1--texto"/>
    <w:basedOn w:val="Normal"/>
    <w:rsid w:val="00060B49"/>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4341414">
      <w:bodyDiv w:val="1"/>
      <w:marLeft w:val="0"/>
      <w:marRight w:val="0"/>
      <w:marTop w:val="0"/>
      <w:marBottom w:val="0"/>
      <w:divBdr>
        <w:top w:val="none" w:sz="0" w:space="0" w:color="auto"/>
        <w:left w:val="none" w:sz="0" w:space="0" w:color="auto"/>
        <w:bottom w:val="none" w:sz="0" w:space="0" w:color="auto"/>
        <w:right w:val="none" w:sz="0" w:space="0" w:color="auto"/>
      </w:divBdr>
    </w:div>
    <w:div w:id="1787696996">
      <w:bodyDiv w:val="1"/>
      <w:marLeft w:val="0"/>
      <w:marRight w:val="0"/>
      <w:marTop w:val="0"/>
      <w:marBottom w:val="0"/>
      <w:divBdr>
        <w:top w:val="none" w:sz="0" w:space="0" w:color="auto"/>
        <w:left w:val="none" w:sz="0" w:space="0" w:color="auto"/>
        <w:bottom w:val="none" w:sz="0" w:space="0" w:color="auto"/>
        <w:right w:val="none" w:sz="0" w:space="0" w:color="auto"/>
      </w:divBdr>
    </w:div>
    <w:div w:id="1905139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nuevalegislacion.com/files/susc/cdj/conc/dr_761_20.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uevalegislacion.com/files/susc/cdj/conc/dr_761_20.pdf" TargetMode="External"/><Relationship Id="rId5" Type="http://schemas.openxmlformats.org/officeDocument/2006/relationships/hyperlink" Target="https://www.nuevalegislacion.com/files/susc/cdj/conc/dr_761_20.pdf" TargetMode="External"/><Relationship Id="rId4" Type="http://schemas.openxmlformats.org/officeDocument/2006/relationships/hyperlink" Target="https://www.nuevalegislacion.com/files/susc/cdj/conc/dr_761_20.pdf"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2315</Words>
  <Characters>12738</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Diego Sanchez</cp:lastModifiedBy>
  <cp:revision>2</cp:revision>
  <dcterms:created xsi:type="dcterms:W3CDTF">2023-03-13T14:25:00Z</dcterms:created>
  <dcterms:modified xsi:type="dcterms:W3CDTF">2023-03-13T14:25:00Z</dcterms:modified>
</cp:coreProperties>
</file>