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8E7EA" w14:textId="77777777" w:rsidR="00800A21" w:rsidRPr="00A071DF" w:rsidRDefault="00800A21" w:rsidP="00A071DF">
      <w:pPr>
        <w:spacing w:line="360" w:lineRule="auto"/>
        <w:jc w:val="both"/>
        <w:rPr>
          <w:rFonts w:ascii="Arial" w:hAnsi="Arial" w:cs="Arial"/>
          <w:sz w:val="24"/>
          <w:szCs w:val="24"/>
        </w:rPr>
      </w:pPr>
      <w:r w:rsidRPr="00A071DF">
        <w:rPr>
          <w:rFonts w:ascii="Arial" w:hAnsi="Arial" w:cs="Arial"/>
          <w:sz w:val="24"/>
          <w:szCs w:val="24"/>
        </w:rPr>
        <w:t>1. No hay límite en el monto de los dineros que las personas jurídicas deseen destinar para ejecutar algunas de las actividades de los literales del artículo 107-2 del ET. Tampoco hay restricción en cuanto al tipo de empleados asalariados de la empresa que podrán beneficiarse con esas medidas (lo cual implica que hasta los socios de las empresas que al mismo tiempo figuran como empleados en sus nóminas también podrán beneficiarse).</w:t>
      </w:r>
    </w:p>
    <w:p w14:paraId="2645AB24" w14:textId="77777777" w:rsidR="00800A21" w:rsidRPr="00A071DF" w:rsidRDefault="00800A21" w:rsidP="00A071DF">
      <w:pPr>
        <w:spacing w:line="360" w:lineRule="auto"/>
        <w:jc w:val="both"/>
        <w:rPr>
          <w:rFonts w:ascii="Arial" w:hAnsi="Arial" w:cs="Arial"/>
          <w:sz w:val="24"/>
          <w:szCs w:val="24"/>
        </w:rPr>
      </w:pPr>
      <w:r w:rsidRPr="00A071DF">
        <w:rPr>
          <w:rFonts w:ascii="Arial" w:hAnsi="Arial" w:cs="Arial"/>
          <w:sz w:val="24"/>
          <w:szCs w:val="24"/>
        </w:rPr>
        <w:t>2. El “núcleo familiar del trabajador” al que se refiere el literal “a” del artículo 107-2 del ET corresponde a su cónyuge o compañero(a) permanente y los hijos hasta los 25 años. Cuando el empleado no tenga cónyuge o compañero(a) permanente, el núcleo familiar, para efectos de la deducción, está constituido por él mismo, sus padres y sus hermanos que dependan económicamente del trabajador.</w:t>
      </w:r>
    </w:p>
    <w:p w14:paraId="59C34138" w14:textId="77777777" w:rsidR="00800A21" w:rsidRPr="00A071DF" w:rsidRDefault="00800A21" w:rsidP="00A071DF">
      <w:pPr>
        <w:spacing w:line="360" w:lineRule="auto"/>
        <w:jc w:val="both"/>
        <w:rPr>
          <w:rFonts w:ascii="Arial" w:hAnsi="Arial" w:cs="Arial"/>
          <w:sz w:val="24"/>
          <w:szCs w:val="24"/>
        </w:rPr>
      </w:pPr>
      <w:r w:rsidRPr="00A071DF">
        <w:rPr>
          <w:rFonts w:ascii="Arial" w:hAnsi="Arial" w:cs="Arial"/>
          <w:sz w:val="24"/>
          <w:szCs w:val="24"/>
        </w:rPr>
        <w:t xml:space="preserve">3. Los dineros utilizados para llevar a cabo las actividades de los literales “a” y “b” del artículo 107-2 del ET deberán </w:t>
      </w:r>
      <w:r w:rsidRPr="00712594">
        <w:rPr>
          <w:rFonts w:ascii="Arial" w:hAnsi="Arial" w:cs="Arial"/>
          <w:sz w:val="24"/>
          <w:szCs w:val="24"/>
          <w:highlight w:val="yellow"/>
        </w:rPr>
        <w:t>entregarse directamente por parte de la persona jurídica</w:t>
      </w:r>
      <w:r w:rsidRPr="00A071DF">
        <w:rPr>
          <w:rFonts w:ascii="Arial" w:hAnsi="Arial" w:cs="Arial"/>
          <w:sz w:val="24"/>
          <w:szCs w:val="24"/>
        </w:rPr>
        <w:t>, y usando solo canales financieros, a la respectiva institución educativa (nacional o extranjera), la cual debe tener programas educativos aprobados o convalidados por el Ministerio de Educación.</w:t>
      </w:r>
    </w:p>
    <w:p w14:paraId="32A9E393" w14:textId="77777777" w:rsidR="00800A21" w:rsidRPr="00A071DF" w:rsidRDefault="00800A21" w:rsidP="00A071DF">
      <w:pPr>
        <w:spacing w:line="360" w:lineRule="auto"/>
        <w:jc w:val="both"/>
        <w:rPr>
          <w:rFonts w:ascii="Arial" w:hAnsi="Arial" w:cs="Arial"/>
          <w:sz w:val="24"/>
          <w:szCs w:val="24"/>
        </w:rPr>
      </w:pPr>
      <w:r w:rsidRPr="00A071DF">
        <w:rPr>
          <w:rFonts w:ascii="Arial" w:hAnsi="Arial" w:cs="Arial"/>
          <w:sz w:val="24"/>
          <w:szCs w:val="24"/>
        </w:rPr>
        <w:t xml:space="preserve">Además, el aporte debe estar previamente </w:t>
      </w:r>
      <w:r w:rsidRPr="00712594">
        <w:rPr>
          <w:rFonts w:ascii="Arial" w:hAnsi="Arial" w:cs="Arial"/>
          <w:sz w:val="24"/>
          <w:szCs w:val="24"/>
          <w:highlight w:val="yellow"/>
        </w:rPr>
        <w:t>aprobado mediante acta emitida por el órgano administrativo</w:t>
      </w:r>
      <w:r w:rsidRPr="00A071DF">
        <w:rPr>
          <w:rFonts w:ascii="Arial" w:hAnsi="Arial" w:cs="Arial"/>
          <w:sz w:val="24"/>
          <w:szCs w:val="24"/>
        </w:rPr>
        <w:t xml:space="preserve"> de la persona jurídica que lo desea efectuar. El aporte realizado a las instituciones educativas no constituirá ingreso tributario al trabajador y, por tanto, nunca se sumaría dentro de sus ingresos laborales ni generará prestaciones sociales, así como tampoco aportes a seguridad social ni parafiscales.</w:t>
      </w:r>
    </w:p>
    <w:p w14:paraId="3A8C5D43" w14:textId="77777777" w:rsidR="00800A21" w:rsidRPr="00A071DF" w:rsidRDefault="00800A21" w:rsidP="00A071DF">
      <w:pPr>
        <w:spacing w:line="360" w:lineRule="auto"/>
        <w:jc w:val="both"/>
        <w:rPr>
          <w:rFonts w:ascii="Arial" w:hAnsi="Arial" w:cs="Arial"/>
          <w:sz w:val="24"/>
          <w:szCs w:val="24"/>
        </w:rPr>
      </w:pPr>
      <w:r w:rsidRPr="00A071DF">
        <w:rPr>
          <w:rFonts w:ascii="Arial" w:hAnsi="Arial" w:cs="Arial"/>
          <w:sz w:val="24"/>
          <w:szCs w:val="24"/>
        </w:rPr>
        <w:t>4. La persona jurídica que beneficie a sus trabajadores con estos aportes no podrá exigirle a cambio una permanencia mínima en la empresa ni el reintegro de los valores aportados.</w:t>
      </w:r>
    </w:p>
    <w:p w14:paraId="35E2AB88" w14:textId="77777777" w:rsidR="00800A21" w:rsidRPr="00A071DF" w:rsidRDefault="00800A21" w:rsidP="00A071DF">
      <w:pPr>
        <w:spacing w:line="360" w:lineRule="auto"/>
        <w:jc w:val="both"/>
        <w:rPr>
          <w:rFonts w:ascii="Arial" w:hAnsi="Arial" w:cs="Arial"/>
          <w:sz w:val="24"/>
          <w:szCs w:val="24"/>
        </w:rPr>
      </w:pPr>
      <w:r w:rsidRPr="00712594">
        <w:rPr>
          <w:rFonts w:ascii="Arial" w:hAnsi="Arial" w:cs="Arial"/>
          <w:sz w:val="24"/>
          <w:szCs w:val="24"/>
          <w:highlight w:val="yellow"/>
        </w:rPr>
        <w:t>5. La Dian podrá exigir un reporte de información exógena tributaria especial con los detalles de los aportes realizados y de los trabajadores beneficiados. Antes de que eso suceda, será obligatorio que al finalizar cada año fiscal el contador o revisor fiscal de la persona jurídica que realice los aportes elabore una certificación especial (disponible para cuando la Dian la exija), en la cual se incluyan todos los datos</w:t>
      </w:r>
      <w:r w:rsidRPr="00A071DF">
        <w:rPr>
          <w:rFonts w:ascii="Arial" w:hAnsi="Arial" w:cs="Arial"/>
          <w:sz w:val="24"/>
          <w:szCs w:val="24"/>
        </w:rPr>
        <w:t xml:space="preserve"> </w:t>
      </w:r>
      <w:r w:rsidRPr="00A071DF">
        <w:rPr>
          <w:rFonts w:ascii="Arial" w:hAnsi="Arial" w:cs="Arial"/>
          <w:sz w:val="24"/>
          <w:szCs w:val="24"/>
        </w:rPr>
        <w:lastRenderedPageBreak/>
        <w:t xml:space="preserve">mencionados en el parágrafo del nuevo artículo 1.2.1.18.84 del DUT 1625 de 2016, adicionado por el </w:t>
      </w:r>
      <w:r w:rsidRPr="00712594">
        <w:rPr>
          <w:rFonts w:ascii="Arial" w:hAnsi="Arial" w:cs="Arial"/>
          <w:sz w:val="24"/>
          <w:szCs w:val="24"/>
          <w:highlight w:val="yellow"/>
        </w:rPr>
        <w:t>artículo 1 del Decreto 1013 de 2020.</w:t>
      </w:r>
    </w:p>
    <w:p w14:paraId="53DB523A" w14:textId="77777777" w:rsidR="00800A21" w:rsidRPr="00A071DF" w:rsidRDefault="00800A21" w:rsidP="00A071DF">
      <w:pPr>
        <w:spacing w:line="360" w:lineRule="auto"/>
        <w:jc w:val="both"/>
        <w:rPr>
          <w:rFonts w:ascii="Arial" w:hAnsi="Arial" w:cs="Arial"/>
          <w:sz w:val="24"/>
          <w:szCs w:val="24"/>
        </w:rPr>
      </w:pPr>
      <w:r w:rsidRPr="00A071DF">
        <w:rPr>
          <w:rFonts w:ascii="Arial" w:hAnsi="Arial" w:cs="Arial"/>
          <w:sz w:val="24"/>
          <w:szCs w:val="24"/>
        </w:rPr>
        <w:t>6. La deducción que impute la persona jurídica por realizar los aportes del artículo 107-2 del ET no puede generar un doble beneficio tributario. Lo anterior significa que si, por ejemplo, realiza un aporte o donación a una fundación educativa del régimen especial, tendrá que escoger entre restarla 100 % como un gasto deducible (ver artículo 107- 2 del ET) o como un descuento tributario del 25 % (ver artículo 257-2 del ET).</w:t>
      </w:r>
    </w:p>
    <w:p w14:paraId="1FEE6266" w14:textId="77777777" w:rsidR="00A071DF" w:rsidRPr="003B36AD" w:rsidRDefault="00A071DF" w:rsidP="00A071DF">
      <w:pPr>
        <w:spacing w:line="360" w:lineRule="auto"/>
        <w:jc w:val="both"/>
        <w:rPr>
          <w:rFonts w:ascii="Arial" w:hAnsi="Arial" w:cs="Arial"/>
          <w:i/>
          <w:sz w:val="24"/>
          <w:szCs w:val="24"/>
          <w:highlight w:val="lightGray"/>
        </w:rPr>
      </w:pPr>
      <w:r w:rsidRPr="003B36AD">
        <w:rPr>
          <w:rFonts w:ascii="Arial" w:hAnsi="Arial" w:cs="Arial"/>
          <w:i/>
          <w:sz w:val="24"/>
          <w:szCs w:val="24"/>
          <w:highlight w:val="lightGray"/>
        </w:rPr>
        <w:t xml:space="preserve">Nota: para que se lleve a cabo la deducción por contribución a la educación de los empleados, la norma contempla que las becas o créditos deben ser </w:t>
      </w:r>
      <w:proofErr w:type="spellStart"/>
      <w:r w:rsidRPr="003B36AD">
        <w:rPr>
          <w:rFonts w:ascii="Arial" w:hAnsi="Arial" w:cs="Arial"/>
          <w:i/>
          <w:sz w:val="24"/>
          <w:szCs w:val="24"/>
          <w:highlight w:val="lightGray"/>
        </w:rPr>
        <w:t>condonables</w:t>
      </w:r>
      <w:proofErr w:type="spellEnd"/>
      <w:r w:rsidRPr="003B36AD">
        <w:rPr>
          <w:rFonts w:ascii="Arial" w:hAnsi="Arial" w:cs="Arial"/>
          <w:i/>
          <w:sz w:val="24"/>
          <w:szCs w:val="24"/>
          <w:highlight w:val="lightGray"/>
        </w:rPr>
        <w:t>, y en ningún caso podrán pactar como condición un término de permanencia o reintegro de los valores pagados por el empleado.</w:t>
      </w:r>
    </w:p>
    <w:p w14:paraId="1741A90A" w14:textId="77777777" w:rsidR="00A071DF" w:rsidRPr="003B36AD" w:rsidRDefault="00A071DF" w:rsidP="00A071DF">
      <w:pPr>
        <w:spacing w:line="360" w:lineRule="auto"/>
        <w:jc w:val="both"/>
        <w:rPr>
          <w:rFonts w:ascii="Arial" w:hAnsi="Arial" w:cs="Arial"/>
          <w:i/>
          <w:sz w:val="24"/>
          <w:szCs w:val="24"/>
          <w:highlight w:val="lightGray"/>
        </w:rPr>
      </w:pPr>
      <w:r w:rsidRPr="003B36AD">
        <w:rPr>
          <w:rFonts w:ascii="Arial" w:hAnsi="Arial" w:cs="Arial"/>
          <w:i/>
          <w:sz w:val="24"/>
          <w:szCs w:val="24"/>
          <w:highlight w:val="lightGray"/>
        </w:rPr>
        <w:t>Además, el monto destinado a dichos programas educativos debe ser pagado directamente por el empleador a la entidad educativa a través del sistema financiero.</w:t>
      </w:r>
    </w:p>
    <w:p w14:paraId="4CFEB122" w14:textId="77777777" w:rsidR="00A071DF" w:rsidRDefault="00A071DF" w:rsidP="00A071DF">
      <w:pPr>
        <w:spacing w:line="360" w:lineRule="auto"/>
        <w:jc w:val="both"/>
        <w:rPr>
          <w:rFonts w:ascii="Arial" w:hAnsi="Arial" w:cs="Arial"/>
          <w:i/>
          <w:sz w:val="24"/>
          <w:szCs w:val="24"/>
        </w:rPr>
      </w:pPr>
      <w:r w:rsidRPr="003B36AD">
        <w:rPr>
          <w:rFonts w:ascii="Arial" w:hAnsi="Arial" w:cs="Arial"/>
          <w:i/>
          <w:sz w:val="24"/>
          <w:szCs w:val="24"/>
          <w:highlight w:val="lightGray"/>
        </w:rPr>
        <w:t xml:space="preserve">Nota: por medio del Concepto 1359 de octubre 27 de 2020, la Dian señaló que, para efectos fiscales, cuando el empleador pacte alguna cláusula de permanencia o reintegro de valores por parte del trabajador, no podrá deducir del impuesto de renta los créditos </w:t>
      </w:r>
      <w:proofErr w:type="spellStart"/>
      <w:r w:rsidRPr="003B36AD">
        <w:rPr>
          <w:rFonts w:ascii="Arial" w:hAnsi="Arial" w:cs="Arial"/>
          <w:i/>
          <w:sz w:val="24"/>
          <w:szCs w:val="24"/>
          <w:highlight w:val="lightGray"/>
        </w:rPr>
        <w:t>condonables</w:t>
      </w:r>
      <w:proofErr w:type="spellEnd"/>
      <w:r w:rsidRPr="003B36AD">
        <w:rPr>
          <w:rFonts w:ascii="Arial" w:hAnsi="Arial" w:cs="Arial"/>
          <w:i/>
          <w:sz w:val="24"/>
          <w:szCs w:val="24"/>
          <w:highlight w:val="lightGray"/>
        </w:rPr>
        <w:t xml:space="preserve"> realizados a favor del trabajador o de los miembros de su núcleo familiar.</w:t>
      </w:r>
    </w:p>
    <w:p w14:paraId="61DE50A6" w14:textId="77777777" w:rsidR="00BA22E7" w:rsidRPr="003B36AD" w:rsidRDefault="00BA22E7" w:rsidP="00BA22E7">
      <w:pPr>
        <w:spacing w:line="360" w:lineRule="auto"/>
        <w:jc w:val="both"/>
        <w:rPr>
          <w:rFonts w:ascii="Arial" w:hAnsi="Arial" w:cs="Arial"/>
          <w:i/>
          <w:sz w:val="24"/>
          <w:szCs w:val="24"/>
        </w:rPr>
      </w:pPr>
      <w:r w:rsidRPr="00BA22E7">
        <w:rPr>
          <w:rFonts w:ascii="Arial" w:hAnsi="Arial" w:cs="Arial"/>
          <w:i/>
          <w:sz w:val="24"/>
          <w:szCs w:val="24"/>
        </w:rPr>
        <w:t>Adicionalmente, la administración tributaria indicó</w:t>
      </w:r>
      <w:r>
        <w:rPr>
          <w:rFonts w:ascii="Arial" w:hAnsi="Arial" w:cs="Arial"/>
          <w:i/>
          <w:sz w:val="24"/>
          <w:szCs w:val="24"/>
        </w:rPr>
        <w:t xml:space="preserve"> </w:t>
      </w:r>
      <w:r w:rsidRPr="00BA22E7">
        <w:rPr>
          <w:rFonts w:ascii="Arial" w:hAnsi="Arial" w:cs="Arial"/>
          <w:i/>
          <w:sz w:val="24"/>
          <w:szCs w:val="24"/>
        </w:rPr>
        <w:t>que, cuando el artículo 1.2.1.18.81 del DUT 1625</w:t>
      </w:r>
      <w:r>
        <w:rPr>
          <w:rFonts w:ascii="Arial" w:hAnsi="Arial" w:cs="Arial"/>
          <w:i/>
          <w:sz w:val="24"/>
          <w:szCs w:val="24"/>
        </w:rPr>
        <w:t xml:space="preserve"> </w:t>
      </w:r>
      <w:r w:rsidRPr="00BA22E7">
        <w:rPr>
          <w:rFonts w:ascii="Arial" w:hAnsi="Arial" w:cs="Arial"/>
          <w:i/>
          <w:sz w:val="24"/>
          <w:szCs w:val="24"/>
        </w:rPr>
        <w:t>de 2016 fija como condición para la procedencia de</w:t>
      </w:r>
      <w:r>
        <w:rPr>
          <w:rFonts w:ascii="Arial" w:hAnsi="Arial" w:cs="Arial"/>
          <w:i/>
          <w:sz w:val="24"/>
          <w:szCs w:val="24"/>
        </w:rPr>
        <w:t xml:space="preserve"> </w:t>
      </w:r>
      <w:r w:rsidRPr="00BA22E7">
        <w:rPr>
          <w:rFonts w:ascii="Arial" w:hAnsi="Arial" w:cs="Arial"/>
          <w:i/>
          <w:sz w:val="24"/>
          <w:szCs w:val="24"/>
        </w:rPr>
        <w:t>la deducción en mención que el programa de becas</w:t>
      </w:r>
      <w:r>
        <w:rPr>
          <w:rFonts w:ascii="Arial" w:hAnsi="Arial" w:cs="Arial"/>
          <w:i/>
          <w:sz w:val="24"/>
          <w:szCs w:val="24"/>
        </w:rPr>
        <w:t xml:space="preserve"> </w:t>
      </w:r>
      <w:r w:rsidRPr="00BA22E7">
        <w:rPr>
          <w:rFonts w:ascii="Arial" w:hAnsi="Arial" w:cs="Arial"/>
          <w:i/>
          <w:sz w:val="24"/>
          <w:szCs w:val="24"/>
        </w:rPr>
        <w:t>permita el acceso a todos los empleados o sus familias</w:t>
      </w:r>
      <w:r>
        <w:rPr>
          <w:rFonts w:ascii="Arial" w:hAnsi="Arial" w:cs="Arial"/>
          <w:i/>
          <w:sz w:val="24"/>
          <w:szCs w:val="24"/>
        </w:rPr>
        <w:t xml:space="preserve"> </w:t>
      </w:r>
      <w:r w:rsidRPr="00BA22E7">
        <w:rPr>
          <w:rFonts w:ascii="Arial" w:hAnsi="Arial" w:cs="Arial"/>
          <w:i/>
          <w:sz w:val="24"/>
          <w:szCs w:val="24"/>
        </w:rPr>
        <w:t xml:space="preserve">en igualdad de condiciones, </w:t>
      </w:r>
      <w:r w:rsidRPr="00BA22E7">
        <w:rPr>
          <w:rFonts w:ascii="Arial" w:hAnsi="Arial" w:cs="Arial"/>
          <w:i/>
          <w:sz w:val="24"/>
          <w:szCs w:val="24"/>
          <w:highlight w:val="yellow"/>
        </w:rPr>
        <w:t>hace referencia a que debe ser reconocido por parte de la persona jurídica en igualdad de oportunidades, por lo que cualquier trabajador o los miembros de su núcleo familiar pueden acceder al programa, sin exclusión por pago o por alguna condición especial.</w:t>
      </w:r>
    </w:p>
    <w:sectPr w:rsidR="00BA22E7" w:rsidRPr="003B36A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4E94"/>
    <w:rsid w:val="00006C8C"/>
    <w:rsid w:val="00134E94"/>
    <w:rsid w:val="001D348C"/>
    <w:rsid w:val="003273E0"/>
    <w:rsid w:val="003B36AD"/>
    <w:rsid w:val="00712594"/>
    <w:rsid w:val="00800A21"/>
    <w:rsid w:val="00A071DF"/>
    <w:rsid w:val="00BA2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0B7DF"/>
  <w15:chartTrackingRefBased/>
  <w15:docId w15:val="{B7C85CE9-F59E-457D-B9B0-07D0CEC78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632</Words>
  <Characters>3479</Characters>
  <Application>Microsoft Office Word</Application>
  <DocSecurity>0</DocSecurity>
  <Lines>28</Lines>
  <Paragraphs>8</Paragraphs>
  <ScaleCrop>false</ScaleCrop>
  <Company/>
  <LinksUpToDate>false</LinksUpToDate>
  <CharactersWithSpaces>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Diego Sanchez</cp:lastModifiedBy>
  <cp:revision>2</cp:revision>
  <dcterms:created xsi:type="dcterms:W3CDTF">2023-03-13T14:24:00Z</dcterms:created>
  <dcterms:modified xsi:type="dcterms:W3CDTF">2023-03-13T14:24:00Z</dcterms:modified>
</cp:coreProperties>
</file>