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0FF601" w14:textId="77777777" w:rsidR="001F1FBB" w:rsidRPr="001F1FBB" w:rsidRDefault="001F1FBB" w:rsidP="001F1FBB">
      <w:pPr>
        <w:spacing w:after="0" w:line="240" w:lineRule="auto"/>
        <w:jc w:val="center"/>
        <w:rPr>
          <w:rFonts w:ascii="Arial" w:eastAsia="Times New Roman" w:hAnsi="Arial" w:cs="Arial"/>
          <w:color w:val="000000"/>
          <w:sz w:val="18"/>
          <w:szCs w:val="18"/>
          <w:lang w:eastAsia="es-ES"/>
        </w:rPr>
      </w:pPr>
      <w:r w:rsidRPr="001F1FBB">
        <w:rPr>
          <w:rFonts w:ascii="Segoe UI" w:eastAsia="Times New Roman" w:hAnsi="Segoe UI" w:cs="Segoe UI"/>
          <w:b/>
          <w:bCs/>
          <w:color w:val="0000FF"/>
          <w:sz w:val="28"/>
          <w:szCs w:val="28"/>
          <w:lang w:val="es-CO" w:eastAsia="es-ES"/>
        </w:rPr>
        <w:t xml:space="preserve">OFICIO </w:t>
      </w:r>
      <w:proofErr w:type="spellStart"/>
      <w:r w:rsidRPr="001F1FBB">
        <w:rPr>
          <w:rFonts w:ascii="Segoe UI" w:eastAsia="Times New Roman" w:hAnsi="Segoe UI" w:cs="Segoe UI"/>
          <w:b/>
          <w:bCs/>
          <w:color w:val="0000FF"/>
          <w:sz w:val="28"/>
          <w:szCs w:val="28"/>
          <w:lang w:val="es-CO" w:eastAsia="es-ES"/>
        </w:rPr>
        <w:t>Nº</w:t>
      </w:r>
      <w:proofErr w:type="spellEnd"/>
      <w:r w:rsidRPr="001F1FBB">
        <w:rPr>
          <w:rFonts w:ascii="Segoe UI" w:eastAsia="Times New Roman" w:hAnsi="Segoe UI" w:cs="Segoe UI"/>
          <w:b/>
          <w:bCs/>
          <w:color w:val="0000FF"/>
          <w:sz w:val="28"/>
          <w:szCs w:val="28"/>
          <w:lang w:val="es-CO" w:eastAsia="es-ES"/>
        </w:rPr>
        <w:t xml:space="preserve"> 669 [915858]</w:t>
      </w:r>
    </w:p>
    <w:p w14:paraId="255D5FED" w14:textId="77777777" w:rsidR="001F1FBB" w:rsidRPr="001F1FBB" w:rsidRDefault="001F1FBB" w:rsidP="001F1FBB">
      <w:pPr>
        <w:spacing w:after="0" w:line="240" w:lineRule="auto"/>
        <w:jc w:val="center"/>
        <w:rPr>
          <w:rFonts w:ascii="Arial" w:eastAsia="Times New Roman" w:hAnsi="Arial" w:cs="Arial"/>
          <w:color w:val="000000"/>
          <w:sz w:val="18"/>
          <w:szCs w:val="18"/>
          <w:lang w:eastAsia="es-ES"/>
        </w:rPr>
      </w:pPr>
      <w:r w:rsidRPr="001F1FBB">
        <w:rPr>
          <w:rFonts w:ascii="Segoe UI" w:eastAsia="Times New Roman" w:hAnsi="Segoe UI" w:cs="Segoe UI"/>
          <w:b/>
          <w:bCs/>
          <w:color w:val="0000FF"/>
          <w:sz w:val="28"/>
          <w:szCs w:val="28"/>
          <w:lang w:val="es-CO" w:eastAsia="es-ES"/>
        </w:rPr>
        <w:t>28-12-2021</w:t>
      </w:r>
    </w:p>
    <w:p w14:paraId="0A35DF97" w14:textId="77777777" w:rsidR="001F1FBB" w:rsidRPr="001F1FBB" w:rsidRDefault="001F1FBB" w:rsidP="001F1FBB">
      <w:pPr>
        <w:spacing w:after="0" w:line="240" w:lineRule="auto"/>
        <w:jc w:val="center"/>
        <w:rPr>
          <w:rFonts w:ascii="Arial" w:eastAsia="Times New Roman" w:hAnsi="Arial" w:cs="Arial"/>
          <w:color w:val="000000"/>
          <w:sz w:val="18"/>
          <w:szCs w:val="18"/>
          <w:lang w:eastAsia="es-ES"/>
        </w:rPr>
      </w:pPr>
      <w:r w:rsidRPr="001F1FBB">
        <w:rPr>
          <w:rFonts w:ascii="Segoe UI" w:eastAsia="Times New Roman" w:hAnsi="Segoe UI" w:cs="Segoe UI"/>
          <w:b/>
          <w:bCs/>
          <w:color w:val="0000FF"/>
          <w:sz w:val="28"/>
          <w:szCs w:val="28"/>
          <w:lang w:val="es-CO" w:eastAsia="es-ES"/>
        </w:rPr>
        <w:t>DIAN</w:t>
      </w:r>
    </w:p>
    <w:p w14:paraId="4FCF6B30" w14:textId="77777777" w:rsidR="001F1FBB" w:rsidRPr="001F1FBB" w:rsidRDefault="001F1FBB" w:rsidP="001F1FBB">
      <w:pPr>
        <w:spacing w:after="0" w:line="240" w:lineRule="auto"/>
        <w:jc w:val="both"/>
        <w:rPr>
          <w:rFonts w:ascii="Arial" w:eastAsia="Times New Roman" w:hAnsi="Arial" w:cs="Arial"/>
          <w:color w:val="000000"/>
          <w:sz w:val="18"/>
          <w:szCs w:val="18"/>
          <w:lang w:eastAsia="es-ES"/>
        </w:rPr>
      </w:pPr>
      <w:r w:rsidRPr="001F1FBB">
        <w:rPr>
          <w:rFonts w:ascii="Segoe UI" w:eastAsia="Times New Roman" w:hAnsi="Segoe UI" w:cs="Segoe UI"/>
          <w:color w:val="000000"/>
          <w:sz w:val="18"/>
          <w:szCs w:val="18"/>
          <w:lang w:val="es-CO" w:eastAsia="es-ES"/>
        </w:rPr>
        <w:t> </w:t>
      </w:r>
    </w:p>
    <w:p w14:paraId="634FE747" w14:textId="77777777" w:rsidR="001F1FBB" w:rsidRPr="001F1FBB" w:rsidRDefault="001F1FBB" w:rsidP="001F1FBB">
      <w:pPr>
        <w:spacing w:after="0" w:line="240" w:lineRule="auto"/>
        <w:jc w:val="both"/>
        <w:rPr>
          <w:rFonts w:ascii="Arial" w:eastAsia="Times New Roman" w:hAnsi="Arial" w:cs="Arial"/>
          <w:color w:val="000000"/>
          <w:sz w:val="18"/>
          <w:szCs w:val="18"/>
          <w:lang w:eastAsia="es-ES"/>
        </w:rPr>
      </w:pPr>
      <w:r w:rsidRPr="001F1FBB">
        <w:rPr>
          <w:rFonts w:ascii="Segoe UI" w:eastAsia="Times New Roman" w:hAnsi="Segoe UI" w:cs="Segoe UI"/>
          <w:lang w:val="es-CO" w:eastAsia="es-ES"/>
        </w:rPr>
        <w:t> </w:t>
      </w:r>
    </w:p>
    <w:p w14:paraId="0B687CA4" w14:textId="77777777" w:rsidR="001F1FBB" w:rsidRPr="001F1FBB" w:rsidRDefault="001F1FBB" w:rsidP="001F1FBB">
      <w:pPr>
        <w:spacing w:after="0" w:line="240" w:lineRule="auto"/>
        <w:jc w:val="both"/>
        <w:rPr>
          <w:rFonts w:ascii="Arial" w:eastAsia="Times New Roman" w:hAnsi="Arial" w:cs="Arial"/>
          <w:color w:val="000000"/>
          <w:sz w:val="18"/>
          <w:szCs w:val="18"/>
          <w:lang w:eastAsia="es-ES"/>
        </w:rPr>
      </w:pPr>
      <w:r w:rsidRPr="001F1FBB">
        <w:rPr>
          <w:rFonts w:ascii="Segoe UI" w:eastAsia="Times New Roman" w:hAnsi="Segoe UI" w:cs="Segoe UI"/>
          <w:lang w:val="es-CO" w:eastAsia="es-ES"/>
        </w:rPr>
        <w:t>Subdirección de Normativa y Doctrina</w:t>
      </w:r>
    </w:p>
    <w:p w14:paraId="42825DFE" w14:textId="77777777" w:rsidR="001F1FBB" w:rsidRPr="001F1FBB" w:rsidRDefault="001F1FBB" w:rsidP="001F1FBB">
      <w:pPr>
        <w:spacing w:after="0" w:line="240" w:lineRule="auto"/>
        <w:jc w:val="both"/>
        <w:rPr>
          <w:rFonts w:ascii="Arial" w:eastAsia="Times New Roman" w:hAnsi="Arial" w:cs="Arial"/>
          <w:color w:val="000000"/>
          <w:sz w:val="18"/>
          <w:szCs w:val="18"/>
          <w:lang w:eastAsia="es-ES"/>
        </w:rPr>
      </w:pPr>
      <w:r w:rsidRPr="001F1FBB">
        <w:rPr>
          <w:rFonts w:ascii="Segoe UI" w:eastAsia="Times New Roman" w:hAnsi="Segoe UI" w:cs="Segoe UI"/>
          <w:lang w:val="es-CO" w:eastAsia="es-ES"/>
        </w:rPr>
        <w:t>100208192-669</w:t>
      </w:r>
    </w:p>
    <w:p w14:paraId="1E5CBEE1" w14:textId="77777777" w:rsidR="001F1FBB" w:rsidRPr="001F1FBB" w:rsidRDefault="001F1FBB" w:rsidP="001F1FBB">
      <w:pPr>
        <w:spacing w:after="0" w:line="240" w:lineRule="auto"/>
        <w:jc w:val="both"/>
        <w:rPr>
          <w:rFonts w:ascii="Arial" w:eastAsia="Times New Roman" w:hAnsi="Arial" w:cs="Arial"/>
          <w:color w:val="000000"/>
          <w:sz w:val="18"/>
          <w:szCs w:val="18"/>
          <w:lang w:eastAsia="es-ES"/>
        </w:rPr>
      </w:pPr>
      <w:r w:rsidRPr="001F1FBB">
        <w:rPr>
          <w:rFonts w:ascii="Segoe UI" w:eastAsia="Times New Roman" w:hAnsi="Segoe UI" w:cs="Segoe UI"/>
          <w:lang w:val="es-CO" w:eastAsia="es-ES"/>
        </w:rPr>
        <w:t>Bogotá, D.C.</w:t>
      </w:r>
    </w:p>
    <w:p w14:paraId="67137CE7" w14:textId="77777777" w:rsidR="001F1FBB" w:rsidRPr="001F1FBB" w:rsidRDefault="001F1FBB" w:rsidP="001F1FBB">
      <w:pPr>
        <w:spacing w:after="0" w:line="240" w:lineRule="auto"/>
        <w:jc w:val="both"/>
        <w:rPr>
          <w:rFonts w:ascii="Arial" w:eastAsia="Times New Roman" w:hAnsi="Arial" w:cs="Arial"/>
          <w:color w:val="000000"/>
          <w:sz w:val="18"/>
          <w:szCs w:val="18"/>
          <w:lang w:eastAsia="es-ES"/>
        </w:rPr>
      </w:pPr>
      <w:r w:rsidRPr="001F1FBB">
        <w:rPr>
          <w:rFonts w:ascii="Segoe UI" w:eastAsia="Times New Roman" w:hAnsi="Segoe UI" w:cs="Segoe UI"/>
          <w:lang w:val="es-CO" w:eastAsia="es-ES"/>
        </w:rPr>
        <w:t> </w:t>
      </w:r>
    </w:p>
    <w:tbl>
      <w:tblPr>
        <w:tblW w:w="0" w:type="auto"/>
        <w:tblCellMar>
          <w:left w:w="0" w:type="dxa"/>
          <w:right w:w="0" w:type="dxa"/>
        </w:tblCellMar>
        <w:tblLook w:val="04A0" w:firstRow="1" w:lastRow="0" w:firstColumn="1" w:lastColumn="0" w:noHBand="0" w:noVBand="1"/>
      </w:tblPr>
      <w:tblGrid>
        <w:gridCol w:w="1876"/>
        <w:gridCol w:w="271"/>
        <w:gridCol w:w="271"/>
        <w:gridCol w:w="5037"/>
      </w:tblGrid>
      <w:tr w:rsidR="001F1FBB" w:rsidRPr="001F1FBB" w14:paraId="08795839" w14:textId="77777777" w:rsidTr="001F1FBB">
        <w:tc>
          <w:tcPr>
            <w:tcW w:w="0" w:type="auto"/>
            <w:tcBorders>
              <w:top w:val="nil"/>
              <w:left w:val="nil"/>
              <w:bottom w:val="nil"/>
              <w:right w:val="nil"/>
            </w:tcBorders>
            <w:shd w:val="clear" w:color="auto" w:fill="auto"/>
            <w:tcMar>
              <w:top w:w="0" w:type="dxa"/>
              <w:left w:w="108" w:type="dxa"/>
              <w:bottom w:w="0" w:type="dxa"/>
              <w:right w:w="108" w:type="dxa"/>
            </w:tcMar>
            <w:hideMark/>
          </w:tcPr>
          <w:p w14:paraId="71AB887A" w14:textId="77777777" w:rsidR="001F1FBB" w:rsidRPr="001F1FBB" w:rsidRDefault="001F1FBB" w:rsidP="001F1FBB">
            <w:pPr>
              <w:spacing w:after="0" w:line="240" w:lineRule="auto"/>
              <w:jc w:val="both"/>
              <w:rPr>
                <w:rFonts w:ascii="Times New Roman" w:eastAsia="Times New Roman" w:hAnsi="Times New Roman" w:cs="Times New Roman"/>
                <w:sz w:val="24"/>
                <w:szCs w:val="24"/>
                <w:lang w:eastAsia="es-ES"/>
              </w:rPr>
            </w:pPr>
            <w:r w:rsidRPr="001F1FBB">
              <w:rPr>
                <w:rFonts w:ascii="Segoe UI" w:eastAsia="Times New Roman" w:hAnsi="Segoe UI" w:cs="Segoe UI"/>
                <w:b/>
                <w:bCs/>
                <w:sz w:val="20"/>
                <w:szCs w:val="20"/>
                <w:lang w:val="es-CO" w:eastAsia="es-ES"/>
              </w:rPr>
              <w:t>Tema:</w:t>
            </w:r>
          </w:p>
        </w:tc>
        <w:tc>
          <w:tcPr>
            <w:tcW w:w="0" w:type="auto"/>
            <w:tcBorders>
              <w:top w:val="nil"/>
              <w:left w:val="nil"/>
              <w:bottom w:val="nil"/>
              <w:right w:val="nil"/>
            </w:tcBorders>
            <w:shd w:val="clear" w:color="auto" w:fill="auto"/>
            <w:tcMar>
              <w:top w:w="0" w:type="dxa"/>
              <w:left w:w="108" w:type="dxa"/>
              <w:bottom w:w="0" w:type="dxa"/>
              <w:right w:w="108" w:type="dxa"/>
            </w:tcMar>
            <w:hideMark/>
          </w:tcPr>
          <w:p w14:paraId="5C9F9300" w14:textId="77777777" w:rsidR="001F1FBB" w:rsidRPr="001F1FBB" w:rsidRDefault="001F1FBB" w:rsidP="001F1FBB">
            <w:pPr>
              <w:spacing w:after="0" w:line="240" w:lineRule="auto"/>
              <w:jc w:val="both"/>
              <w:rPr>
                <w:rFonts w:ascii="Times New Roman" w:eastAsia="Times New Roman" w:hAnsi="Times New Roman" w:cs="Times New Roman"/>
                <w:sz w:val="24"/>
                <w:szCs w:val="24"/>
                <w:lang w:eastAsia="es-ES"/>
              </w:rPr>
            </w:pPr>
            <w:r w:rsidRPr="001F1FBB">
              <w:rPr>
                <w:rFonts w:ascii="Segoe UI" w:eastAsia="Times New Roman" w:hAnsi="Segoe UI" w:cs="Segoe UI"/>
                <w:sz w:val="20"/>
                <w:szCs w:val="20"/>
                <w:lang w:val="es-CO" w:eastAsia="es-ES"/>
              </w:rPr>
              <w:t> </w:t>
            </w:r>
          </w:p>
        </w:tc>
        <w:tc>
          <w:tcPr>
            <w:tcW w:w="0" w:type="auto"/>
            <w:tcBorders>
              <w:top w:val="nil"/>
              <w:left w:val="nil"/>
              <w:bottom w:val="nil"/>
              <w:right w:val="nil"/>
            </w:tcBorders>
            <w:shd w:val="clear" w:color="auto" w:fill="auto"/>
            <w:tcMar>
              <w:top w:w="0" w:type="dxa"/>
              <w:left w:w="108" w:type="dxa"/>
              <w:bottom w:w="0" w:type="dxa"/>
              <w:right w:w="108" w:type="dxa"/>
            </w:tcMar>
            <w:hideMark/>
          </w:tcPr>
          <w:p w14:paraId="70D74961" w14:textId="77777777" w:rsidR="001F1FBB" w:rsidRPr="001F1FBB" w:rsidRDefault="001F1FBB" w:rsidP="001F1FBB">
            <w:pPr>
              <w:spacing w:after="0" w:line="240" w:lineRule="auto"/>
              <w:jc w:val="both"/>
              <w:rPr>
                <w:rFonts w:ascii="Times New Roman" w:eastAsia="Times New Roman" w:hAnsi="Times New Roman" w:cs="Times New Roman"/>
                <w:sz w:val="24"/>
                <w:szCs w:val="24"/>
                <w:lang w:eastAsia="es-ES"/>
              </w:rPr>
            </w:pPr>
            <w:r w:rsidRPr="001F1FBB">
              <w:rPr>
                <w:rFonts w:ascii="Segoe UI" w:eastAsia="Times New Roman" w:hAnsi="Segoe UI" w:cs="Segoe UI"/>
                <w:sz w:val="20"/>
                <w:szCs w:val="20"/>
                <w:lang w:val="es-CO" w:eastAsia="es-ES"/>
              </w:rPr>
              <w:t> </w:t>
            </w:r>
          </w:p>
        </w:tc>
        <w:tc>
          <w:tcPr>
            <w:tcW w:w="0" w:type="auto"/>
            <w:tcBorders>
              <w:top w:val="nil"/>
              <w:left w:val="nil"/>
              <w:bottom w:val="nil"/>
              <w:right w:val="nil"/>
            </w:tcBorders>
            <w:shd w:val="clear" w:color="auto" w:fill="auto"/>
            <w:tcMar>
              <w:top w:w="0" w:type="dxa"/>
              <w:left w:w="108" w:type="dxa"/>
              <w:bottom w:w="0" w:type="dxa"/>
              <w:right w:w="108" w:type="dxa"/>
            </w:tcMar>
            <w:hideMark/>
          </w:tcPr>
          <w:p w14:paraId="0E26FB0A" w14:textId="77777777" w:rsidR="001F1FBB" w:rsidRPr="001F1FBB" w:rsidRDefault="001F1FBB" w:rsidP="001F1FBB">
            <w:pPr>
              <w:spacing w:after="0" w:line="240" w:lineRule="auto"/>
              <w:jc w:val="both"/>
              <w:rPr>
                <w:rFonts w:ascii="Times New Roman" w:eastAsia="Times New Roman" w:hAnsi="Times New Roman" w:cs="Times New Roman"/>
                <w:sz w:val="24"/>
                <w:szCs w:val="24"/>
                <w:lang w:eastAsia="es-ES"/>
              </w:rPr>
            </w:pPr>
            <w:r w:rsidRPr="001F1FBB">
              <w:rPr>
                <w:rFonts w:ascii="Segoe UI" w:eastAsia="Times New Roman" w:hAnsi="Segoe UI" w:cs="Segoe UI"/>
                <w:sz w:val="20"/>
                <w:szCs w:val="20"/>
                <w:lang w:val="es-CO" w:eastAsia="es-ES"/>
              </w:rPr>
              <w:t>Procedimiento tributario</w:t>
            </w:r>
          </w:p>
        </w:tc>
      </w:tr>
      <w:tr w:rsidR="001F1FBB" w:rsidRPr="001F1FBB" w14:paraId="5015D947" w14:textId="77777777" w:rsidTr="001F1FBB">
        <w:tc>
          <w:tcPr>
            <w:tcW w:w="0" w:type="auto"/>
            <w:tcBorders>
              <w:top w:val="nil"/>
              <w:left w:val="nil"/>
              <w:bottom w:val="nil"/>
              <w:right w:val="nil"/>
            </w:tcBorders>
            <w:shd w:val="clear" w:color="auto" w:fill="auto"/>
            <w:tcMar>
              <w:top w:w="0" w:type="dxa"/>
              <w:left w:w="108" w:type="dxa"/>
              <w:bottom w:w="0" w:type="dxa"/>
              <w:right w:w="108" w:type="dxa"/>
            </w:tcMar>
            <w:hideMark/>
          </w:tcPr>
          <w:p w14:paraId="323A2EEA" w14:textId="77777777" w:rsidR="001F1FBB" w:rsidRPr="001F1FBB" w:rsidRDefault="001F1FBB" w:rsidP="001F1FBB">
            <w:pPr>
              <w:spacing w:after="0" w:line="240" w:lineRule="auto"/>
              <w:jc w:val="both"/>
              <w:rPr>
                <w:rFonts w:ascii="Times New Roman" w:eastAsia="Times New Roman" w:hAnsi="Times New Roman" w:cs="Times New Roman"/>
                <w:sz w:val="24"/>
                <w:szCs w:val="24"/>
                <w:lang w:eastAsia="es-ES"/>
              </w:rPr>
            </w:pPr>
            <w:r w:rsidRPr="001F1FBB">
              <w:rPr>
                <w:rFonts w:ascii="Segoe UI" w:eastAsia="Times New Roman" w:hAnsi="Segoe UI" w:cs="Segoe UI"/>
                <w:b/>
                <w:bCs/>
                <w:sz w:val="20"/>
                <w:szCs w:val="20"/>
                <w:lang w:val="es-CO" w:eastAsia="es-ES"/>
              </w:rPr>
              <w:t>Descriptores:</w:t>
            </w:r>
          </w:p>
        </w:tc>
        <w:tc>
          <w:tcPr>
            <w:tcW w:w="0" w:type="auto"/>
            <w:tcBorders>
              <w:top w:val="nil"/>
              <w:left w:val="nil"/>
              <w:bottom w:val="nil"/>
              <w:right w:val="nil"/>
            </w:tcBorders>
            <w:shd w:val="clear" w:color="auto" w:fill="auto"/>
            <w:tcMar>
              <w:top w:w="0" w:type="dxa"/>
              <w:left w:w="108" w:type="dxa"/>
              <w:bottom w:w="0" w:type="dxa"/>
              <w:right w:w="108" w:type="dxa"/>
            </w:tcMar>
            <w:hideMark/>
          </w:tcPr>
          <w:p w14:paraId="7D26A74A" w14:textId="77777777" w:rsidR="001F1FBB" w:rsidRPr="001F1FBB" w:rsidRDefault="001F1FBB" w:rsidP="001F1FBB">
            <w:pPr>
              <w:spacing w:after="0" w:line="240" w:lineRule="auto"/>
              <w:jc w:val="both"/>
              <w:rPr>
                <w:rFonts w:ascii="Times New Roman" w:eastAsia="Times New Roman" w:hAnsi="Times New Roman" w:cs="Times New Roman"/>
                <w:sz w:val="24"/>
                <w:szCs w:val="24"/>
                <w:lang w:eastAsia="es-ES"/>
              </w:rPr>
            </w:pPr>
            <w:r w:rsidRPr="001F1FBB">
              <w:rPr>
                <w:rFonts w:ascii="Segoe UI" w:eastAsia="Times New Roman" w:hAnsi="Segoe UI" w:cs="Segoe UI"/>
                <w:sz w:val="20"/>
                <w:szCs w:val="20"/>
                <w:lang w:val="es-CO" w:eastAsia="es-ES"/>
              </w:rPr>
              <w:t> </w:t>
            </w:r>
          </w:p>
        </w:tc>
        <w:tc>
          <w:tcPr>
            <w:tcW w:w="0" w:type="auto"/>
            <w:tcBorders>
              <w:top w:val="nil"/>
              <w:left w:val="nil"/>
              <w:bottom w:val="nil"/>
              <w:right w:val="nil"/>
            </w:tcBorders>
            <w:shd w:val="clear" w:color="auto" w:fill="auto"/>
            <w:tcMar>
              <w:top w:w="0" w:type="dxa"/>
              <w:left w:w="108" w:type="dxa"/>
              <w:bottom w:w="0" w:type="dxa"/>
              <w:right w:w="108" w:type="dxa"/>
            </w:tcMar>
            <w:hideMark/>
          </w:tcPr>
          <w:p w14:paraId="4EECAB62" w14:textId="77777777" w:rsidR="001F1FBB" w:rsidRPr="001F1FBB" w:rsidRDefault="001F1FBB" w:rsidP="001F1FBB">
            <w:pPr>
              <w:spacing w:after="0" w:line="240" w:lineRule="auto"/>
              <w:jc w:val="both"/>
              <w:rPr>
                <w:rFonts w:ascii="Times New Roman" w:eastAsia="Times New Roman" w:hAnsi="Times New Roman" w:cs="Times New Roman"/>
                <w:sz w:val="24"/>
                <w:szCs w:val="24"/>
                <w:lang w:eastAsia="es-ES"/>
              </w:rPr>
            </w:pPr>
            <w:r w:rsidRPr="001F1FBB">
              <w:rPr>
                <w:rFonts w:ascii="Segoe UI" w:eastAsia="Times New Roman" w:hAnsi="Segoe UI" w:cs="Segoe UI"/>
                <w:sz w:val="20"/>
                <w:szCs w:val="20"/>
                <w:lang w:val="es-CO" w:eastAsia="es-ES"/>
              </w:rPr>
              <w:t> </w:t>
            </w:r>
          </w:p>
        </w:tc>
        <w:tc>
          <w:tcPr>
            <w:tcW w:w="0" w:type="auto"/>
            <w:tcBorders>
              <w:top w:val="nil"/>
              <w:left w:val="nil"/>
              <w:bottom w:val="nil"/>
              <w:right w:val="nil"/>
            </w:tcBorders>
            <w:shd w:val="clear" w:color="auto" w:fill="auto"/>
            <w:tcMar>
              <w:top w:w="0" w:type="dxa"/>
              <w:left w:w="108" w:type="dxa"/>
              <w:bottom w:w="0" w:type="dxa"/>
              <w:right w:w="108" w:type="dxa"/>
            </w:tcMar>
            <w:hideMark/>
          </w:tcPr>
          <w:p w14:paraId="68779ED9" w14:textId="77777777" w:rsidR="001F1FBB" w:rsidRPr="001F1FBB" w:rsidRDefault="001F1FBB" w:rsidP="001F1FBB">
            <w:pPr>
              <w:spacing w:after="0" w:line="240" w:lineRule="auto"/>
              <w:jc w:val="both"/>
              <w:rPr>
                <w:rFonts w:ascii="Times New Roman" w:eastAsia="Times New Roman" w:hAnsi="Times New Roman" w:cs="Times New Roman"/>
                <w:sz w:val="24"/>
                <w:szCs w:val="24"/>
                <w:lang w:eastAsia="es-ES"/>
              </w:rPr>
            </w:pPr>
            <w:r w:rsidRPr="001F1FBB">
              <w:rPr>
                <w:rFonts w:ascii="Segoe UI" w:eastAsia="Times New Roman" w:hAnsi="Segoe UI" w:cs="Segoe UI"/>
                <w:sz w:val="20"/>
                <w:szCs w:val="20"/>
                <w:lang w:val="es-CO" w:eastAsia="es-ES"/>
              </w:rPr>
              <w:t>Reducción transitoria de sanciones y de tasa de interés</w:t>
            </w:r>
          </w:p>
        </w:tc>
      </w:tr>
      <w:tr w:rsidR="001F1FBB" w:rsidRPr="001F1FBB" w14:paraId="2744053E" w14:textId="77777777" w:rsidTr="001F1FBB">
        <w:tc>
          <w:tcPr>
            <w:tcW w:w="0" w:type="auto"/>
            <w:tcBorders>
              <w:top w:val="nil"/>
              <w:left w:val="nil"/>
              <w:bottom w:val="nil"/>
              <w:right w:val="nil"/>
            </w:tcBorders>
            <w:shd w:val="clear" w:color="auto" w:fill="auto"/>
            <w:tcMar>
              <w:top w:w="0" w:type="dxa"/>
              <w:left w:w="108" w:type="dxa"/>
              <w:bottom w:w="0" w:type="dxa"/>
              <w:right w:w="108" w:type="dxa"/>
            </w:tcMar>
            <w:hideMark/>
          </w:tcPr>
          <w:p w14:paraId="713D4897" w14:textId="77777777" w:rsidR="001F1FBB" w:rsidRPr="001F1FBB" w:rsidRDefault="001F1FBB" w:rsidP="001F1FBB">
            <w:pPr>
              <w:spacing w:after="0" w:line="240" w:lineRule="auto"/>
              <w:jc w:val="both"/>
              <w:rPr>
                <w:rFonts w:ascii="Times New Roman" w:eastAsia="Times New Roman" w:hAnsi="Times New Roman" w:cs="Times New Roman"/>
                <w:sz w:val="24"/>
                <w:szCs w:val="24"/>
                <w:lang w:eastAsia="es-ES"/>
              </w:rPr>
            </w:pPr>
            <w:r w:rsidRPr="001F1FBB">
              <w:rPr>
                <w:rFonts w:ascii="Segoe UI" w:eastAsia="Times New Roman" w:hAnsi="Segoe UI" w:cs="Segoe UI"/>
                <w:b/>
                <w:bCs/>
                <w:sz w:val="20"/>
                <w:szCs w:val="20"/>
                <w:lang w:val="es-CO" w:eastAsia="es-ES"/>
              </w:rPr>
              <w:t>Fuentes formales:</w:t>
            </w:r>
          </w:p>
        </w:tc>
        <w:tc>
          <w:tcPr>
            <w:tcW w:w="0" w:type="auto"/>
            <w:tcBorders>
              <w:top w:val="nil"/>
              <w:left w:val="nil"/>
              <w:bottom w:val="nil"/>
              <w:right w:val="nil"/>
            </w:tcBorders>
            <w:shd w:val="clear" w:color="auto" w:fill="auto"/>
            <w:tcMar>
              <w:top w:w="0" w:type="dxa"/>
              <w:left w:w="108" w:type="dxa"/>
              <w:bottom w:w="0" w:type="dxa"/>
              <w:right w:w="108" w:type="dxa"/>
            </w:tcMar>
            <w:hideMark/>
          </w:tcPr>
          <w:p w14:paraId="5716B3DA" w14:textId="77777777" w:rsidR="001F1FBB" w:rsidRPr="001F1FBB" w:rsidRDefault="001F1FBB" w:rsidP="001F1FBB">
            <w:pPr>
              <w:spacing w:after="0" w:line="240" w:lineRule="auto"/>
              <w:jc w:val="both"/>
              <w:rPr>
                <w:rFonts w:ascii="Times New Roman" w:eastAsia="Times New Roman" w:hAnsi="Times New Roman" w:cs="Times New Roman"/>
                <w:sz w:val="24"/>
                <w:szCs w:val="24"/>
                <w:lang w:eastAsia="es-ES"/>
              </w:rPr>
            </w:pPr>
            <w:r w:rsidRPr="001F1FBB">
              <w:rPr>
                <w:rFonts w:ascii="Segoe UI" w:eastAsia="Times New Roman" w:hAnsi="Segoe UI" w:cs="Segoe UI"/>
                <w:sz w:val="20"/>
                <w:szCs w:val="20"/>
                <w:lang w:val="es-CO" w:eastAsia="es-ES"/>
              </w:rPr>
              <w:t> </w:t>
            </w:r>
          </w:p>
        </w:tc>
        <w:tc>
          <w:tcPr>
            <w:tcW w:w="0" w:type="auto"/>
            <w:tcBorders>
              <w:top w:val="nil"/>
              <w:left w:val="nil"/>
              <w:bottom w:val="nil"/>
              <w:right w:val="nil"/>
            </w:tcBorders>
            <w:shd w:val="clear" w:color="auto" w:fill="auto"/>
            <w:tcMar>
              <w:top w:w="0" w:type="dxa"/>
              <w:left w:w="108" w:type="dxa"/>
              <w:bottom w:w="0" w:type="dxa"/>
              <w:right w:w="108" w:type="dxa"/>
            </w:tcMar>
            <w:hideMark/>
          </w:tcPr>
          <w:p w14:paraId="1CFE9AB9" w14:textId="77777777" w:rsidR="001F1FBB" w:rsidRPr="001F1FBB" w:rsidRDefault="001F1FBB" w:rsidP="001F1FBB">
            <w:pPr>
              <w:spacing w:after="0" w:line="240" w:lineRule="auto"/>
              <w:jc w:val="both"/>
              <w:rPr>
                <w:rFonts w:ascii="Times New Roman" w:eastAsia="Times New Roman" w:hAnsi="Times New Roman" w:cs="Times New Roman"/>
                <w:sz w:val="24"/>
                <w:szCs w:val="24"/>
                <w:lang w:eastAsia="es-ES"/>
              </w:rPr>
            </w:pPr>
            <w:r w:rsidRPr="001F1FBB">
              <w:rPr>
                <w:rFonts w:ascii="Segoe UI" w:eastAsia="Times New Roman" w:hAnsi="Segoe UI" w:cs="Segoe UI"/>
                <w:sz w:val="20"/>
                <w:szCs w:val="20"/>
                <w:lang w:val="es-CO" w:eastAsia="es-ES"/>
              </w:rPr>
              <w:t> </w:t>
            </w:r>
          </w:p>
        </w:tc>
        <w:tc>
          <w:tcPr>
            <w:tcW w:w="0" w:type="auto"/>
            <w:tcBorders>
              <w:top w:val="nil"/>
              <w:left w:val="nil"/>
              <w:bottom w:val="nil"/>
              <w:right w:val="nil"/>
            </w:tcBorders>
            <w:shd w:val="clear" w:color="auto" w:fill="auto"/>
            <w:tcMar>
              <w:top w:w="0" w:type="dxa"/>
              <w:left w:w="108" w:type="dxa"/>
              <w:bottom w:w="0" w:type="dxa"/>
              <w:right w:w="108" w:type="dxa"/>
            </w:tcMar>
            <w:hideMark/>
          </w:tcPr>
          <w:p w14:paraId="6E826D97" w14:textId="77777777" w:rsidR="001F1FBB" w:rsidRPr="001F1FBB" w:rsidRDefault="001F1FBB" w:rsidP="001F1FBB">
            <w:pPr>
              <w:spacing w:after="0" w:line="240" w:lineRule="auto"/>
              <w:jc w:val="both"/>
              <w:rPr>
                <w:rFonts w:ascii="Times New Roman" w:eastAsia="Times New Roman" w:hAnsi="Times New Roman" w:cs="Times New Roman"/>
                <w:sz w:val="24"/>
                <w:szCs w:val="24"/>
                <w:lang w:eastAsia="es-ES"/>
              </w:rPr>
            </w:pPr>
            <w:r w:rsidRPr="001F1FBB">
              <w:rPr>
                <w:rFonts w:ascii="Segoe UI" w:eastAsia="Times New Roman" w:hAnsi="Segoe UI" w:cs="Segoe UI"/>
                <w:sz w:val="20"/>
                <w:szCs w:val="20"/>
                <w:lang w:val="es-CO" w:eastAsia="es-ES"/>
              </w:rPr>
              <w:t>Artículo 45 de la Ley 2155 de 2021</w:t>
            </w:r>
          </w:p>
          <w:p w14:paraId="1CB33783" w14:textId="77777777" w:rsidR="001F1FBB" w:rsidRPr="001F1FBB" w:rsidRDefault="001F1FBB" w:rsidP="001F1FBB">
            <w:pPr>
              <w:spacing w:after="0" w:line="240" w:lineRule="auto"/>
              <w:jc w:val="both"/>
              <w:rPr>
                <w:rFonts w:ascii="Times New Roman" w:eastAsia="Times New Roman" w:hAnsi="Times New Roman" w:cs="Times New Roman"/>
                <w:sz w:val="24"/>
                <w:szCs w:val="24"/>
                <w:lang w:eastAsia="es-ES"/>
              </w:rPr>
            </w:pPr>
            <w:r w:rsidRPr="001F1FBB">
              <w:rPr>
                <w:rFonts w:ascii="Segoe UI" w:eastAsia="Times New Roman" w:hAnsi="Segoe UI" w:cs="Segoe UI"/>
                <w:sz w:val="20"/>
                <w:szCs w:val="20"/>
                <w:lang w:val="es-CO" w:eastAsia="es-ES"/>
              </w:rPr>
              <w:t xml:space="preserve">Resolución DIAN </w:t>
            </w:r>
            <w:proofErr w:type="spellStart"/>
            <w:r w:rsidRPr="001F1FBB">
              <w:rPr>
                <w:rFonts w:ascii="Segoe UI" w:eastAsia="Times New Roman" w:hAnsi="Segoe UI" w:cs="Segoe UI"/>
                <w:sz w:val="20"/>
                <w:szCs w:val="20"/>
                <w:lang w:val="es-CO" w:eastAsia="es-ES"/>
              </w:rPr>
              <w:t>N°</w:t>
            </w:r>
            <w:proofErr w:type="spellEnd"/>
            <w:r w:rsidRPr="001F1FBB">
              <w:rPr>
                <w:rFonts w:ascii="Segoe UI" w:eastAsia="Times New Roman" w:hAnsi="Segoe UI" w:cs="Segoe UI"/>
                <w:sz w:val="20"/>
                <w:szCs w:val="20"/>
                <w:lang w:val="es-CO" w:eastAsia="es-ES"/>
              </w:rPr>
              <w:t xml:space="preserve"> 000126 de 2021</w:t>
            </w:r>
          </w:p>
          <w:p w14:paraId="22656798" w14:textId="77777777" w:rsidR="001F1FBB" w:rsidRPr="001F1FBB" w:rsidRDefault="001F1FBB" w:rsidP="001F1FBB">
            <w:pPr>
              <w:spacing w:after="0" w:line="240" w:lineRule="auto"/>
              <w:jc w:val="both"/>
              <w:rPr>
                <w:rFonts w:ascii="Times New Roman" w:eastAsia="Times New Roman" w:hAnsi="Times New Roman" w:cs="Times New Roman"/>
                <w:sz w:val="24"/>
                <w:szCs w:val="24"/>
                <w:lang w:eastAsia="es-ES"/>
              </w:rPr>
            </w:pPr>
            <w:r w:rsidRPr="001F1FBB">
              <w:rPr>
                <w:rFonts w:ascii="Segoe UI" w:eastAsia="Times New Roman" w:hAnsi="Segoe UI" w:cs="Segoe UI"/>
                <w:sz w:val="20"/>
                <w:szCs w:val="20"/>
                <w:lang w:val="es-CO" w:eastAsia="es-ES"/>
              </w:rPr>
              <w:t xml:space="preserve">Concepto General No. 913636 </w:t>
            </w:r>
            <w:proofErr w:type="spellStart"/>
            <w:r w:rsidRPr="001F1FBB">
              <w:rPr>
                <w:rFonts w:ascii="Segoe UI" w:eastAsia="Times New Roman" w:hAnsi="Segoe UI" w:cs="Segoe UI"/>
                <w:sz w:val="20"/>
                <w:szCs w:val="20"/>
                <w:lang w:val="es-CO" w:eastAsia="es-ES"/>
              </w:rPr>
              <w:t>Int</w:t>
            </w:r>
            <w:proofErr w:type="spellEnd"/>
            <w:r w:rsidRPr="001F1FBB">
              <w:rPr>
                <w:rFonts w:ascii="Segoe UI" w:eastAsia="Times New Roman" w:hAnsi="Segoe UI" w:cs="Segoe UI"/>
                <w:sz w:val="20"/>
                <w:szCs w:val="20"/>
                <w:lang w:val="es-CO" w:eastAsia="es-ES"/>
              </w:rPr>
              <w:t>. 415 de 2021</w:t>
            </w:r>
          </w:p>
        </w:tc>
      </w:tr>
    </w:tbl>
    <w:p w14:paraId="7789D8E3" w14:textId="77777777" w:rsidR="001F1FBB" w:rsidRPr="001F1FBB" w:rsidRDefault="001F1FBB" w:rsidP="001F1FBB">
      <w:pPr>
        <w:spacing w:after="0" w:line="240" w:lineRule="auto"/>
        <w:jc w:val="both"/>
        <w:rPr>
          <w:rFonts w:ascii="Arial" w:eastAsia="Times New Roman" w:hAnsi="Arial" w:cs="Arial"/>
          <w:color w:val="000000"/>
          <w:sz w:val="18"/>
          <w:szCs w:val="18"/>
          <w:lang w:eastAsia="es-ES"/>
        </w:rPr>
      </w:pPr>
      <w:r w:rsidRPr="001F1FBB">
        <w:rPr>
          <w:rFonts w:ascii="Segoe UI" w:eastAsia="Times New Roman" w:hAnsi="Segoe UI" w:cs="Segoe UI"/>
          <w:lang w:val="es-CO" w:eastAsia="es-ES"/>
        </w:rPr>
        <w:t> </w:t>
      </w:r>
    </w:p>
    <w:p w14:paraId="7E527399" w14:textId="77777777" w:rsidR="001F1FBB" w:rsidRPr="001F1FBB" w:rsidRDefault="001F1FBB" w:rsidP="001F1FBB">
      <w:pPr>
        <w:spacing w:after="0" w:line="240" w:lineRule="auto"/>
        <w:jc w:val="both"/>
        <w:rPr>
          <w:rFonts w:ascii="Arial" w:eastAsia="Times New Roman" w:hAnsi="Arial" w:cs="Arial"/>
          <w:color w:val="000000"/>
          <w:sz w:val="18"/>
          <w:szCs w:val="18"/>
          <w:lang w:eastAsia="es-ES"/>
        </w:rPr>
      </w:pPr>
      <w:r w:rsidRPr="001F1FBB">
        <w:rPr>
          <w:rFonts w:ascii="Segoe UI" w:eastAsia="Times New Roman" w:hAnsi="Segoe UI" w:cs="Segoe UI"/>
          <w:lang w:val="es-CO" w:eastAsia="es-ES"/>
        </w:rPr>
        <w:t> </w:t>
      </w:r>
    </w:p>
    <w:p w14:paraId="3C29AD97" w14:textId="77777777" w:rsidR="001F1FBB" w:rsidRPr="001F1FBB" w:rsidRDefault="001F1FBB" w:rsidP="001F1FBB">
      <w:pPr>
        <w:spacing w:after="0" w:line="240" w:lineRule="auto"/>
        <w:jc w:val="both"/>
        <w:rPr>
          <w:rFonts w:ascii="Arial" w:eastAsia="Times New Roman" w:hAnsi="Arial" w:cs="Arial"/>
          <w:color w:val="000000"/>
          <w:sz w:val="18"/>
          <w:szCs w:val="18"/>
          <w:lang w:eastAsia="es-ES"/>
        </w:rPr>
      </w:pPr>
      <w:r w:rsidRPr="001F1FBB">
        <w:rPr>
          <w:rFonts w:ascii="Segoe UI" w:eastAsia="Times New Roman" w:hAnsi="Segoe UI" w:cs="Segoe UI"/>
          <w:color w:val="000000"/>
          <w:sz w:val="18"/>
          <w:szCs w:val="18"/>
          <w:lang w:val="es-CO" w:eastAsia="es-ES"/>
        </w:rPr>
        <w:t>Cordial saludo,</w:t>
      </w:r>
    </w:p>
    <w:p w14:paraId="25F5612F" w14:textId="77777777" w:rsidR="001F1FBB" w:rsidRPr="001F1FBB" w:rsidRDefault="001F1FBB" w:rsidP="001F1FBB">
      <w:pPr>
        <w:spacing w:after="0" w:line="240" w:lineRule="auto"/>
        <w:jc w:val="both"/>
        <w:rPr>
          <w:rFonts w:ascii="Arial" w:eastAsia="Times New Roman" w:hAnsi="Arial" w:cs="Arial"/>
          <w:color w:val="000000"/>
          <w:sz w:val="18"/>
          <w:szCs w:val="18"/>
          <w:lang w:eastAsia="es-ES"/>
        </w:rPr>
      </w:pPr>
      <w:r w:rsidRPr="001F1FBB">
        <w:rPr>
          <w:rFonts w:ascii="Segoe UI" w:eastAsia="Times New Roman" w:hAnsi="Segoe UI" w:cs="Segoe UI"/>
          <w:color w:val="000000"/>
          <w:sz w:val="18"/>
          <w:szCs w:val="18"/>
          <w:lang w:val="es-CO" w:eastAsia="es-ES"/>
        </w:rPr>
        <w:t> </w:t>
      </w:r>
    </w:p>
    <w:p w14:paraId="519E0E0E" w14:textId="77777777" w:rsidR="001F1FBB" w:rsidRPr="001F1FBB" w:rsidRDefault="001F1FBB" w:rsidP="001F1FBB">
      <w:pPr>
        <w:spacing w:after="0" w:line="240" w:lineRule="auto"/>
        <w:jc w:val="both"/>
        <w:rPr>
          <w:rFonts w:ascii="Arial" w:eastAsia="Times New Roman" w:hAnsi="Arial" w:cs="Arial"/>
          <w:color w:val="000000"/>
          <w:sz w:val="18"/>
          <w:szCs w:val="18"/>
          <w:lang w:eastAsia="es-ES"/>
        </w:rPr>
      </w:pPr>
      <w:r w:rsidRPr="001F1FBB">
        <w:rPr>
          <w:rFonts w:ascii="Segoe UI" w:eastAsia="Times New Roman" w:hAnsi="Segoe UI" w:cs="Segoe UI"/>
          <w:color w:val="000000"/>
          <w:sz w:val="18"/>
          <w:szCs w:val="18"/>
          <w:lang w:val="es-CO" w:eastAsia="es-ES"/>
        </w:rPr>
        <w:t>De conformidad con el artículo 56 del Decreto 1742 de 2020, este Despacho está facultado para absolver las consultas escritas generales que se formulen sobre la interpretación y aplicación de las normas tributarias, aduaneras y de fiscalización cambiaria, en el marco de las competencias de la Dirección de Impuestos y Aduanas Nacionales. Por consiguiente, no corresponde a este Despacho, en ejercicio de las funciones descritas anteriormente, prestar asesoría específica para atender casos particulares, ni juzgar o calificar las decisiones tomadas por otras dependencias o entidades.</w:t>
      </w:r>
    </w:p>
    <w:p w14:paraId="378E21F4" w14:textId="77777777" w:rsidR="001F1FBB" w:rsidRPr="001F1FBB" w:rsidRDefault="001F1FBB" w:rsidP="001F1FBB">
      <w:pPr>
        <w:spacing w:after="0" w:line="240" w:lineRule="auto"/>
        <w:jc w:val="both"/>
        <w:rPr>
          <w:rFonts w:ascii="Arial" w:eastAsia="Times New Roman" w:hAnsi="Arial" w:cs="Arial"/>
          <w:color w:val="000000"/>
          <w:sz w:val="18"/>
          <w:szCs w:val="18"/>
          <w:lang w:eastAsia="es-ES"/>
        </w:rPr>
      </w:pPr>
      <w:r w:rsidRPr="001F1FBB">
        <w:rPr>
          <w:rFonts w:ascii="Segoe UI" w:eastAsia="Times New Roman" w:hAnsi="Segoe UI" w:cs="Segoe UI"/>
          <w:color w:val="000000"/>
          <w:sz w:val="18"/>
          <w:szCs w:val="18"/>
          <w:lang w:val="es-CO" w:eastAsia="es-ES"/>
        </w:rPr>
        <w:t> </w:t>
      </w:r>
    </w:p>
    <w:p w14:paraId="62B95293" w14:textId="77777777" w:rsidR="001F1FBB" w:rsidRPr="001F1FBB" w:rsidRDefault="001F1FBB" w:rsidP="001F1FBB">
      <w:pPr>
        <w:spacing w:after="0" w:line="240" w:lineRule="auto"/>
        <w:jc w:val="both"/>
        <w:rPr>
          <w:rFonts w:ascii="Arial" w:eastAsia="Times New Roman" w:hAnsi="Arial" w:cs="Arial"/>
          <w:color w:val="000000"/>
          <w:sz w:val="18"/>
          <w:szCs w:val="18"/>
          <w:lang w:eastAsia="es-ES"/>
        </w:rPr>
      </w:pPr>
      <w:r w:rsidRPr="001F1FBB">
        <w:rPr>
          <w:rFonts w:ascii="Segoe UI" w:eastAsia="Times New Roman" w:hAnsi="Segoe UI" w:cs="Segoe UI"/>
          <w:color w:val="000000"/>
          <w:sz w:val="18"/>
          <w:szCs w:val="18"/>
          <w:lang w:val="es-CO" w:eastAsia="es-ES"/>
        </w:rPr>
        <w:t>Mediante el radicado de la referencia, la peticionaria consulta si un contribuyente podría corregir voluntariamente las declaraciones del impuesto sobre la renta de períodos anteriores a 2020 y acceder a los beneficios dispuestos en el artículo 45 de la Ley 2155 de 2021 (particularmente la declaración del año gravable 2018, presentada en el año 2019).</w:t>
      </w:r>
    </w:p>
    <w:p w14:paraId="7AA1AF6F" w14:textId="77777777" w:rsidR="001F1FBB" w:rsidRPr="001F1FBB" w:rsidRDefault="001F1FBB" w:rsidP="001F1FBB">
      <w:pPr>
        <w:spacing w:after="0" w:line="240" w:lineRule="auto"/>
        <w:jc w:val="both"/>
        <w:rPr>
          <w:rFonts w:ascii="Arial" w:eastAsia="Times New Roman" w:hAnsi="Arial" w:cs="Arial"/>
          <w:color w:val="000000"/>
          <w:sz w:val="18"/>
          <w:szCs w:val="18"/>
          <w:lang w:eastAsia="es-ES"/>
        </w:rPr>
      </w:pPr>
      <w:r w:rsidRPr="001F1FBB">
        <w:rPr>
          <w:rFonts w:ascii="Segoe UI" w:eastAsia="Times New Roman" w:hAnsi="Segoe UI" w:cs="Segoe UI"/>
          <w:color w:val="000000"/>
          <w:sz w:val="18"/>
          <w:szCs w:val="18"/>
          <w:lang w:val="es-CO" w:eastAsia="es-ES"/>
        </w:rPr>
        <w:t> </w:t>
      </w:r>
    </w:p>
    <w:p w14:paraId="27D433F4" w14:textId="77777777" w:rsidR="001F1FBB" w:rsidRPr="001F1FBB" w:rsidRDefault="001F1FBB" w:rsidP="001F1FBB">
      <w:pPr>
        <w:spacing w:after="0" w:line="240" w:lineRule="auto"/>
        <w:jc w:val="both"/>
        <w:rPr>
          <w:rFonts w:ascii="Arial" w:eastAsia="Times New Roman" w:hAnsi="Arial" w:cs="Arial"/>
          <w:color w:val="000000"/>
          <w:sz w:val="18"/>
          <w:szCs w:val="18"/>
          <w:lang w:eastAsia="es-ES"/>
        </w:rPr>
      </w:pPr>
      <w:r w:rsidRPr="001F1FBB">
        <w:rPr>
          <w:rFonts w:ascii="Segoe UI" w:eastAsia="Times New Roman" w:hAnsi="Segoe UI" w:cs="Segoe UI"/>
          <w:color w:val="000000"/>
          <w:sz w:val="18"/>
          <w:szCs w:val="18"/>
          <w:lang w:val="es-CO" w:eastAsia="es-ES"/>
        </w:rPr>
        <w:t>Sobre el particular, las consideraciones generales de este Despacho son las siguientes, no sin antes reiterar que no le corresponde pronunciarse sobre situaciones de carácter particular ni prestar asesoría específica, por lo que corresponderá a la peticionaria definir, en su caso particular, las obligaciones tributarias sustanciales y formales a las que haya lugar.</w:t>
      </w:r>
    </w:p>
    <w:p w14:paraId="12D9F095" w14:textId="77777777" w:rsidR="001F1FBB" w:rsidRPr="001F1FBB" w:rsidRDefault="001F1FBB" w:rsidP="001F1FBB">
      <w:pPr>
        <w:spacing w:after="0" w:line="240" w:lineRule="auto"/>
        <w:jc w:val="both"/>
        <w:rPr>
          <w:rFonts w:ascii="Arial" w:eastAsia="Times New Roman" w:hAnsi="Arial" w:cs="Arial"/>
          <w:color w:val="000000"/>
          <w:sz w:val="18"/>
          <w:szCs w:val="18"/>
          <w:lang w:eastAsia="es-ES"/>
        </w:rPr>
      </w:pPr>
      <w:r w:rsidRPr="001F1FBB">
        <w:rPr>
          <w:rFonts w:ascii="Segoe UI" w:eastAsia="Times New Roman" w:hAnsi="Segoe UI" w:cs="Segoe UI"/>
          <w:color w:val="000000"/>
          <w:sz w:val="18"/>
          <w:szCs w:val="18"/>
          <w:lang w:val="es-CO" w:eastAsia="es-ES"/>
        </w:rPr>
        <w:t> </w:t>
      </w:r>
    </w:p>
    <w:p w14:paraId="4DEF4EE8" w14:textId="77777777" w:rsidR="001F1FBB" w:rsidRPr="001F1FBB" w:rsidRDefault="001F1FBB" w:rsidP="001F1FBB">
      <w:pPr>
        <w:spacing w:after="0" w:line="240" w:lineRule="auto"/>
        <w:jc w:val="both"/>
        <w:rPr>
          <w:rFonts w:ascii="Arial" w:eastAsia="Times New Roman" w:hAnsi="Arial" w:cs="Arial"/>
          <w:color w:val="000000"/>
          <w:sz w:val="18"/>
          <w:szCs w:val="18"/>
          <w:lang w:eastAsia="es-ES"/>
        </w:rPr>
      </w:pPr>
      <w:r w:rsidRPr="001F1FBB">
        <w:rPr>
          <w:rFonts w:ascii="Segoe UI" w:eastAsia="Times New Roman" w:hAnsi="Segoe UI" w:cs="Segoe UI"/>
          <w:color w:val="000000"/>
          <w:sz w:val="18"/>
          <w:szCs w:val="18"/>
          <w:lang w:val="es-CO" w:eastAsia="es-ES"/>
        </w:rPr>
        <w:t xml:space="preserve">Mediante el Concepto General No. 913636 </w:t>
      </w:r>
      <w:proofErr w:type="spellStart"/>
      <w:r w:rsidRPr="001F1FBB">
        <w:rPr>
          <w:rFonts w:ascii="Segoe UI" w:eastAsia="Times New Roman" w:hAnsi="Segoe UI" w:cs="Segoe UI"/>
          <w:color w:val="000000"/>
          <w:sz w:val="18"/>
          <w:szCs w:val="18"/>
          <w:lang w:val="es-CO" w:eastAsia="es-ES"/>
        </w:rPr>
        <w:t>Int</w:t>
      </w:r>
      <w:proofErr w:type="spellEnd"/>
      <w:r w:rsidRPr="001F1FBB">
        <w:rPr>
          <w:rFonts w:ascii="Segoe UI" w:eastAsia="Times New Roman" w:hAnsi="Segoe UI" w:cs="Segoe UI"/>
          <w:color w:val="000000"/>
          <w:sz w:val="18"/>
          <w:szCs w:val="18"/>
          <w:lang w:val="es-CO" w:eastAsia="es-ES"/>
        </w:rPr>
        <w:t>. 415 del 5 de noviembre de 2021 sobre el artículo 45 de la Ley 2155 de 2021 – Reducción transitoria de sanciones y de tasa de interés para los sujetos de obligaciones administradas por la DIAN – el cual se adjunta para su conocimiento, esta Subdirección interpretó lo siguiente:</w:t>
      </w:r>
    </w:p>
    <w:p w14:paraId="70B2FEC2" w14:textId="77777777" w:rsidR="001F1FBB" w:rsidRPr="001F1FBB" w:rsidRDefault="001F1FBB" w:rsidP="001F1FBB">
      <w:pPr>
        <w:spacing w:after="0" w:line="240" w:lineRule="auto"/>
        <w:jc w:val="both"/>
        <w:rPr>
          <w:rFonts w:ascii="Arial" w:eastAsia="Times New Roman" w:hAnsi="Arial" w:cs="Arial"/>
          <w:color w:val="000000"/>
          <w:sz w:val="18"/>
          <w:szCs w:val="18"/>
          <w:lang w:eastAsia="es-ES"/>
        </w:rPr>
      </w:pPr>
      <w:r w:rsidRPr="001F1FBB">
        <w:rPr>
          <w:rFonts w:ascii="Segoe UI" w:eastAsia="Times New Roman" w:hAnsi="Segoe UI" w:cs="Segoe UI"/>
          <w:b/>
          <w:bCs/>
          <w:i/>
          <w:iCs/>
          <w:color w:val="000000"/>
          <w:sz w:val="18"/>
          <w:szCs w:val="18"/>
          <w:lang w:val="es-CO" w:eastAsia="es-ES"/>
        </w:rPr>
        <w:t> </w:t>
      </w:r>
    </w:p>
    <w:p w14:paraId="1DE44892"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r w:rsidRPr="001F1FBB">
        <w:rPr>
          <w:rFonts w:ascii="Segoe UI" w:eastAsia="Times New Roman" w:hAnsi="Segoe UI" w:cs="Segoe UI"/>
          <w:b/>
          <w:bCs/>
          <w:i/>
          <w:iCs/>
          <w:color w:val="000000"/>
          <w:sz w:val="18"/>
          <w:szCs w:val="18"/>
          <w:lang w:val="es-CO" w:eastAsia="es-ES"/>
        </w:rPr>
        <w:t>3. “¿Cómo funcionan en términos generales las reducciones de que trata el artículo 45 de la Ley 2155 de 2021?</w:t>
      </w:r>
    </w:p>
    <w:p w14:paraId="59C0D8B0"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r w:rsidRPr="001F1FBB">
        <w:rPr>
          <w:rFonts w:ascii="Segoe UI" w:eastAsia="Times New Roman" w:hAnsi="Segoe UI" w:cs="Segoe UI"/>
          <w:color w:val="000000"/>
          <w:sz w:val="18"/>
          <w:szCs w:val="18"/>
          <w:lang w:val="es-CO" w:eastAsia="es-ES"/>
        </w:rPr>
        <w:t> </w:t>
      </w:r>
    </w:p>
    <w:p w14:paraId="5645B4FF"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r w:rsidRPr="001F1FBB">
        <w:rPr>
          <w:rFonts w:ascii="Segoe UI" w:eastAsia="Times New Roman" w:hAnsi="Segoe UI" w:cs="Segoe UI"/>
          <w:i/>
          <w:iCs/>
          <w:color w:val="000000"/>
          <w:sz w:val="18"/>
          <w:szCs w:val="18"/>
          <w:lang w:val="es-CO" w:eastAsia="es-ES"/>
        </w:rPr>
        <w:t xml:space="preserve">En primer lugar, para acceder a las reducciones del artículo 45 </w:t>
      </w:r>
      <w:proofErr w:type="spellStart"/>
      <w:r w:rsidRPr="001F1FBB">
        <w:rPr>
          <w:rFonts w:ascii="Segoe UI" w:eastAsia="Times New Roman" w:hAnsi="Segoe UI" w:cs="Segoe UI"/>
          <w:i/>
          <w:iCs/>
          <w:color w:val="000000"/>
          <w:sz w:val="18"/>
          <w:szCs w:val="18"/>
          <w:lang w:val="es-CO" w:eastAsia="es-ES"/>
        </w:rPr>
        <w:t>ibídem</w:t>
      </w:r>
      <w:proofErr w:type="spellEnd"/>
      <w:r w:rsidRPr="001F1FBB">
        <w:rPr>
          <w:rFonts w:ascii="Segoe UI" w:eastAsia="Times New Roman" w:hAnsi="Segoe UI" w:cs="Segoe UI"/>
          <w:i/>
          <w:iCs/>
          <w:color w:val="000000"/>
          <w:sz w:val="18"/>
          <w:szCs w:val="18"/>
          <w:lang w:val="es-CO" w:eastAsia="es-ES"/>
        </w:rPr>
        <w:t xml:space="preserve"> es necesario el cumplimiento previo de los siguientes requisitos:</w:t>
      </w:r>
    </w:p>
    <w:p w14:paraId="4B3D8B67"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r w:rsidRPr="001F1FBB">
        <w:rPr>
          <w:rFonts w:ascii="Segoe UI" w:eastAsia="Times New Roman" w:hAnsi="Segoe UI" w:cs="Segoe UI"/>
          <w:color w:val="000000"/>
          <w:sz w:val="18"/>
          <w:szCs w:val="18"/>
          <w:lang w:val="es-CO" w:eastAsia="es-ES"/>
        </w:rPr>
        <w:t> </w:t>
      </w:r>
    </w:p>
    <w:p w14:paraId="1319D66C"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r w:rsidRPr="001F1FBB">
        <w:rPr>
          <w:rFonts w:ascii="Segoe UI" w:eastAsia="Times New Roman" w:hAnsi="Segoe UI" w:cs="Segoe UI"/>
          <w:color w:val="000000"/>
          <w:sz w:val="18"/>
          <w:szCs w:val="18"/>
          <w:lang w:val="es-CO" w:eastAsia="es-ES"/>
        </w:rPr>
        <w:t>i) </w:t>
      </w:r>
      <w:r w:rsidRPr="001F1FBB">
        <w:rPr>
          <w:rFonts w:ascii="Segoe UI" w:eastAsia="Times New Roman" w:hAnsi="Segoe UI" w:cs="Segoe UI"/>
          <w:i/>
          <w:iCs/>
          <w:color w:val="000000"/>
          <w:sz w:val="18"/>
          <w:szCs w:val="18"/>
          <w:lang w:val="es-CO" w:eastAsia="es-ES"/>
        </w:rPr>
        <w:t>El </w:t>
      </w:r>
      <w:r w:rsidRPr="001F1FBB">
        <w:rPr>
          <w:rFonts w:ascii="Segoe UI" w:eastAsia="Times New Roman" w:hAnsi="Segoe UI" w:cs="Segoe UI"/>
          <w:b/>
          <w:bCs/>
          <w:i/>
          <w:iCs/>
          <w:color w:val="000000"/>
          <w:sz w:val="18"/>
          <w:szCs w:val="18"/>
          <w:lang w:val="es-CO" w:eastAsia="es-ES"/>
        </w:rPr>
        <w:t>pago </w:t>
      </w:r>
      <w:r w:rsidRPr="001F1FBB">
        <w:rPr>
          <w:rFonts w:ascii="Segoe UI" w:eastAsia="Times New Roman" w:hAnsi="Segoe UI" w:cs="Segoe UI"/>
          <w:i/>
          <w:iCs/>
          <w:color w:val="000000"/>
          <w:sz w:val="18"/>
          <w:szCs w:val="18"/>
          <w:lang w:val="es-CO" w:eastAsia="es-ES"/>
        </w:rPr>
        <w:t>o la </w:t>
      </w:r>
      <w:r w:rsidRPr="001F1FBB">
        <w:rPr>
          <w:rFonts w:ascii="Segoe UI" w:eastAsia="Times New Roman" w:hAnsi="Segoe UI" w:cs="Segoe UI"/>
          <w:b/>
          <w:bCs/>
          <w:i/>
          <w:iCs/>
          <w:color w:val="000000"/>
          <w:sz w:val="18"/>
          <w:szCs w:val="18"/>
          <w:lang w:val="es-CO" w:eastAsia="es-ES"/>
        </w:rPr>
        <w:t>suscripción de facilidades de pago </w:t>
      </w:r>
      <w:r w:rsidRPr="001F1FBB">
        <w:rPr>
          <w:rFonts w:ascii="Segoe UI" w:eastAsia="Times New Roman" w:hAnsi="Segoe UI" w:cs="Segoe UI"/>
          <w:i/>
          <w:iCs/>
          <w:color w:val="000000"/>
          <w:sz w:val="18"/>
          <w:szCs w:val="18"/>
          <w:lang w:val="es-CO" w:eastAsia="es-ES"/>
        </w:rPr>
        <w:t>con la DIAN de las obligaciones, sanciones e intereses de que trata el citado artículo 45 hasta </w:t>
      </w:r>
      <w:r w:rsidRPr="001F1FBB">
        <w:rPr>
          <w:rFonts w:ascii="Segoe UI" w:eastAsia="Times New Roman" w:hAnsi="Segoe UI" w:cs="Segoe UI"/>
          <w:b/>
          <w:bCs/>
          <w:i/>
          <w:iCs/>
          <w:color w:val="000000"/>
          <w:sz w:val="18"/>
          <w:szCs w:val="18"/>
          <w:lang w:val="es-CO" w:eastAsia="es-ES"/>
        </w:rPr>
        <w:t>el 31 de diciembre de 2021</w:t>
      </w:r>
      <w:r w:rsidRPr="001F1FBB">
        <w:rPr>
          <w:rFonts w:ascii="Segoe UI" w:eastAsia="Times New Roman" w:hAnsi="Segoe UI" w:cs="Segoe UI"/>
          <w:i/>
          <w:iCs/>
          <w:color w:val="000000"/>
          <w:sz w:val="18"/>
          <w:szCs w:val="18"/>
          <w:lang w:val="es-CO" w:eastAsia="es-ES"/>
        </w:rPr>
        <w:t>.</w:t>
      </w:r>
    </w:p>
    <w:p w14:paraId="6143A534"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r w:rsidRPr="001F1FBB">
        <w:rPr>
          <w:rFonts w:ascii="Segoe UI" w:eastAsia="Times New Roman" w:hAnsi="Segoe UI" w:cs="Segoe UI"/>
          <w:color w:val="000000"/>
          <w:sz w:val="18"/>
          <w:szCs w:val="18"/>
          <w:lang w:val="es-CO" w:eastAsia="es-ES"/>
        </w:rPr>
        <w:t> </w:t>
      </w:r>
    </w:p>
    <w:p w14:paraId="7B25B007"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proofErr w:type="spellStart"/>
      <w:r w:rsidRPr="001F1FBB">
        <w:rPr>
          <w:rFonts w:ascii="Segoe UI" w:eastAsia="Times New Roman" w:hAnsi="Segoe UI" w:cs="Segoe UI"/>
          <w:color w:val="000000"/>
          <w:sz w:val="18"/>
          <w:szCs w:val="18"/>
          <w:lang w:val="es-CO" w:eastAsia="es-ES"/>
        </w:rPr>
        <w:t>ii</w:t>
      </w:r>
      <w:proofErr w:type="spellEnd"/>
      <w:r w:rsidRPr="001F1FBB">
        <w:rPr>
          <w:rFonts w:ascii="Segoe UI" w:eastAsia="Times New Roman" w:hAnsi="Segoe UI" w:cs="Segoe UI"/>
          <w:color w:val="000000"/>
          <w:sz w:val="18"/>
          <w:szCs w:val="18"/>
          <w:lang w:val="es-CO" w:eastAsia="es-ES"/>
        </w:rPr>
        <w:t>) </w:t>
      </w:r>
      <w:r w:rsidRPr="001F1FBB">
        <w:rPr>
          <w:rFonts w:ascii="Segoe UI" w:eastAsia="Times New Roman" w:hAnsi="Segoe UI" w:cs="Segoe UI"/>
          <w:i/>
          <w:iCs/>
          <w:color w:val="000000"/>
          <w:sz w:val="18"/>
          <w:szCs w:val="18"/>
          <w:lang w:val="es-CO" w:eastAsia="es-ES"/>
        </w:rPr>
        <w:t>Que se trate de obligaciones administradas por la DIAN </w:t>
      </w:r>
      <w:r w:rsidRPr="001F1FBB">
        <w:rPr>
          <w:rFonts w:ascii="Segoe UI" w:eastAsia="Times New Roman" w:hAnsi="Segoe UI" w:cs="Segoe UI"/>
          <w:b/>
          <w:bCs/>
          <w:i/>
          <w:iCs/>
          <w:color w:val="000000"/>
          <w:sz w:val="18"/>
          <w:szCs w:val="18"/>
          <w:lang w:val="es-CO" w:eastAsia="es-ES"/>
        </w:rPr>
        <w:t>que </w:t>
      </w:r>
      <w:r w:rsidRPr="001F1FBB">
        <w:rPr>
          <w:rFonts w:ascii="Segoe UI" w:eastAsia="Times New Roman" w:hAnsi="Segoe UI" w:cs="Segoe UI"/>
          <w:b/>
          <w:bCs/>
          <w:i/>
          <w:iCs/>
          <w:color w:val="000000"/>
          <w:sz w:val="18"/>
          <w:szCs w:val="18"/>
          <w:u w:val="single"/>
          <w:lang w:val="es-CO" w:eastAsia="es-ES"/>
        </w:rPr>
        <w:t>presenten mora en el pago a 30 de junio de 2021</w:t>
      </w:r>
      <w:r w:rsidRPr="001F1FBB">
        <w:rPr>
          <w:rFonts w:ascii="Segoe UI" w:eastAsia="Times New Roman" w:hAnsi="Segoe UI" w:cs="Segoe UI"/>
          <w:i/>
          <w:iCs/>
          <w:color w:val="000000"/>
          <w:sz w:val="18"/>
          <w:szCs w:val="18"/>
          <w:lang w:val="es-CO" w:eastAsia="es-ES"/>
        </w:rPr>
        <w:t xml:space="preserve">, de conformidad con lo previsto en el artículo 2 de la Resolución DIAN </w:t>
      </w:r>
      <w:proofErr w:type="spellStart"/>
      <w:r w:rsidRPr="001F1FBB">
        <w:rPr>
          <w:rFonts w:ascii="Segoe UI" w:eastAsia="Times New Roman" w:hAnsi="Segoe UI" w:cs="Segoe UI"/>
          <w:i/>
          <w:iCs/>
          <w:color w:val="000000"/>
          <w:sz w:val="18"/>
          <w:szCs w:val="18"/>
          <w:lang w:val="es-CO" w:eastAsia="es-ES"/>
        </w:rPr>
        <w:t>N°</w:t>
      </w:r>
      <w:proofErr w:type="spellEnd"/>
      <w:r w:rsidRPr="001F1FBB">
        <w:rPr>
          <w:rFonts w:ascii="Segoe UI" w:eastAsia="Times New Roman" w:hAnsi="Segoe UI" w:cs="Segoe UI"/>
          <w:i/>
          <w:iCs/>
          <w:color w:val="000000"/>
          <w:sz w:val="18"/>
          <w:szCs w:val="18"/>
          <w:lang w:val="es-CO" w:eastAsia="es-ES"/>
        </w:rPr>
        <w:t xml:space="preserve"> 000126 de 2021 y en concordancia con lo previsto en el artículo 1608 del Código Civil.</w:t>
      </w:r>
    </w:p>
    <w:p w14:paraId="6FDEEB36"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r w:rsidRPr="001F1FBB">
        <w:rPr>
          <w:rFonts w:ascii="Segoe UI" w:eastAsia="Times New Roman" w:hAnsi="Segoe UI" w:cs="Segoe UI"/>
          <w:color w:val="000000"/>
          <w:sz w:val="18"/>
          <w:szCs w:val="18"/>
          <w:lang w:val="es-CO" w:eastAsia="es-ES"/>
        </w:rPr>
        <w:t> </w:t>
      </w:r>
    </w:p>
    <w:p w14:paraId="55F25B65"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proofErr w:type="spellStart"/>
      <w:r w:rsidRPr="001F1FBB">
        <w:rPr>
          <w:rFonts w:ascii="Segoe UI" w:eastAsia="Times New Roman" w:hAnsi="Segoe UI" w:cs="Segoe UI"/>
          <w:color w:val="000000"/>
          <w:sz w:val="18"/>
          <w:szCs w:val="18"/>
          <w:lang w:val="es-CO" w:eastAsia="es-ES"/>
        </w:rPr>
        <w:lastRenderedPageBreak/>
        <w:t>iii</w:t>
      </w:r>
      <w:proofErr w:type="spellEnd"/>
      <w:r w:rsidRPr="001F1FBB">
        <w:rPr>
          <w:rFonts w:ascii="Segoe UI" w:eastAsia="Times New Roman" w:hAnsi="Segoe UI" w:cs="Segoe UI"/>
          <w:color w:val="000000"/>
          <w:sz w:val="18"/>
          <w:szCs w:val="18"/>
          <w:lang w:val="es-CO" w:eastAsia="es-ES"/>
        </w:rPr>
        <w:t>) </w:t>
      </w:r>
      <w:r w:rsidRPr="001F1FBB">
        <w:rPr>
          <w:rFonts w:ascii="Segoe UI" w:eastAsia="Times New Roman" w:hAnsi="Segoe UI" w:cs="Segoe UI"/>
          <w:i/>
          <w:iCs/>
          <w:color w:val="000000"/>
          <w:sz w:val="18"/>
          <w:szCs w:val="18"/>
          <w:lang w:val="es-CO" w:eastAsia="es-ES"/>
        </w:rPr>
        <w:t>Que el </w:t>
      </w:r>
      <w:r w:rsidRPr="001F1FBB">
        <w:rPr>
          <w:rFonts w:ascii="Segoe UI" w:eastAsia="Times New Roman" w:hAnsi="Segoe UI" w:cs="Segoe UI"/>
          <w:b/>
          <w:bCs/>
          <w:i/>
          <w:iCs/>
          <w:color w:val="000000"/>
          <w:sz w:val="18"/>
          <w:szCs w:val="18"/>
          <w:u w:val="single"/>
          <w:lang w:val="es-CO" w:eastAsia="es-ES"/>
        </w:rPr>
        <w:t>incumplimiento se haya ocasionado o agravado como consecuencia de la pandemia generada por el COVID-19</w:t>
      </w:r>
      <w:r w:rsidRPr="001F1FBB">
        <w:rPr>
          <w:rFonts w:ascii="Segoe UI" w:eastAsia="Times New Roman" w:hAnsi="Segoe UI" w:cs="Segoe UI"/>
          <w:i/>
          <w:iCs/>
          <w:color w:val="000000"/>
          <w:sz w:val="18"/>
          <w:szCs w:val="18"/>
          <w:lang w:val="es-CO" w:eastAsia="es-ES"/>
        </w:rPr>
        <w:t>.</w:t>
      </w:r>
    </w:p>
    <w:p w14:paraId="4DA9175E"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r w:rsidRPr="001F1FBB">
        <w:rPr>
          <w:rFonts w:ascii="Segoe UI" w:eastAsia="Times New Roman" w:hAnsi="Segoe UI" w:cs="Segoe UI"/>
          <w:color w:val="000000"/>
          <w:sz w:val="18"/>
          <w:szCs w:val="18"/>
          <w:lang w:val="es-CO" w:eastAsia="es-ES"/>
        </w:rPr>
        <w:t> </w:t>
      </w:r>
    </w:p>
    <w:p w14:paraId="6AF25DA4"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r w:rsidRPr="001F1FBB">
        <w:rPr>
          <w:rFonts w:ascii="Segoe UI" w:eastAsia="Times New Roman" w:hAnsi="Segoe UI" w:cs="Segoe UI"/>
          <w:i/>
          <w:iCs/>
          <w:color w:val="000000"/>
          <w:sz w:val="18"/>
          <w:szCs w:val="18"/>
          <w:lang w:val="es-CO" w:eastAsia="es-ES"/>
        </w:rPr>
        <w:t>(…)</w:t>
      </w:r>
    </w:p>
    <w:p w14:paraId="6EFF5D61"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r w:rsidRPr="001F1FBB">
        <w:rPr>
          <w:rFonts w:ascii="Segoe UI" w:eastAsia="Times New Roman" w:hAnsi="Segoe UI" w:cs="Segoe UI"/>
          <w:i/>
          <w:iCs/>
          <w:color w:val="000000"/>
          <w:sz w:val="18"/>
          <w:szCs w:val="18"/>
          <w:lang w:val="es-CO" w:eastAsia="es-ES"/>
        </w:rPr>
        <w:t>En lo atinente a </w:t>
      </w:r>
      <w:r w:rsidRPr="001F1FBB">
        <w:rPr>
          <w:rFonts w:ascii="Segoe UI" w:eastAsia="Times New Roman" w:hAnsi="Segoe UI" w:cs="Segoe UI"/>
          <w:b/>
          <w:bCs/>
          <w:i/>
          <w:iCs/>
          <w:color w:val="000000"/>
          <w:sz w:val="18"/>
          <w:szCs w:val="18"/>
          <w:lang w:val="es-CO" w:eastAsia="es-ES"/>
        </w:rPr>
        <w:t>la mora en el pago, </w:t>
      </w:r>
      <w:r w:rsidRPr="001F1FBB">
        <w:rPr>
          <w:rFonts w:ascii="Segoe UI" w:eastAsia="Times New Roman" w:hAnsi="Segoe UI" w:cs="Segoe UI"/>
          <w:i/>
          <w:iCs/>
          <w:color w:val="000000"/>
          <w:sz w:val="18"/>
          <w:szCs w:val="18"/>
          <w:lang w:val="es-CO" w:eastAsia="es-ES"/>
        </w:rPr>
        <w:t xml:space="preserve">el artículo 2 de la Resolución DIAN </w:t>
      </w:r>
      <w:proofErr w:type="spellStart"/>
      <w:r w:rsidRPr="001F1FBB">
        <w:rPr>
          <w:rFonts w:ascii="Segoe UI" w:eastAsia="Times New Roman" w:hAnsi="Segoe UI" w:cs="Segoe UI"/>
          <w:i/>
          <w:iCs/>
          <w:color w:val="000000"/>
          <w:sz w:val="18"/>
          <w:szCs w:val="18"/>
          <w:lang w:val="es-CO" w:eastAsia="es-ES"/>
        </w:rPr>
        <w:t>N°</w:t>
      </w:r>
      <w:proofErr w:type="spellEnd"/>
      <w:r w:rsidRPr="001F1FBB">
        <w:rPr>
          <w:rFonts w:ascii="Segoe UI" w:eastAsia="Times New Roman" w:hAnsi="Segoe UI" w:cs="Segoe UI"/>
          <w:i/>
          <w:iCs/>
          <w:color w:val="000000"/>
          <w:sz w:val="18"/>
          <w:szCs w:val="18"/>
          <w:lang w:val="es-CO" w:eastAsia="es-ES"/>
        </w:rPr>
        <w:t xml:space="preserve"> 000126 aclara que esta corresponde a la </w:t>
      </w:r>
      <w:r w:rsidRPr="001F1FBB">
        <w:rPr>
          <w:rFonts w:ascii="Segoe UI" w:eastAsia="Times New Roman" w:hAnsi="Segoe UI" w:cs="Segoe UI"/>
          <w:b/>
          <w:bCs/>
          <w:i/>
          <w:iCs/>
          <w:color w:val="000000"/>
          <w:sz w:val="18"/>
          <w:szCs w:val="18"/>
          <w:u w:val="single"/>
          <w:lang w:val="es-CO" w:eastAsia="es-ES"/>
        </w:rPr>
        <w:t>no cancelación oportuna de la obligación</w:t>
      </w:r>
      <w:r w:rsidRPr="001F1FBB">
        <w:rPr>
          <w:rFonts w:ascii="Segoe UI" w:eastAsia="Times New Roman" w:hAnsi="Segoe UI" w:cs="Segoe UI"/>
          <w:i/>
          <w:iCs/>
          <w:color w:val="000000"/>
          <w:sz w:val="18"/>
          <w:szCs w:val="18"/>
          <w:lang w:val="es-CO" w:eastAsia="es-ES"/>
        </w:rPr>
        <w:t>, con lo cual están incluidas, entre otras:</w:t>
      </w:r>
    </w:p>
    <w:p w14:paraId="55AE355E"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r w:rsidRPr="001F1FBB">
        <w:rPr>
          <w:rFonts w:ascii="Segoe UI" w:eastAsia="Times New Roman" w:hAnsi="Segoe UI" w:cs="Segoe UI"/>
          <w:i/>
          <w:iCs/>
          <w:color w:val="000000"/>
          <w:sz w:val="18"/>
          <w:szCs w:val="18"/>
          <w:lang w:val="es-CO" w:eastAsia="es-ES"/>
        </w:rPr>
        <w:t> </w:t>
      </w:r>
    </w:p>
    <w:p w14:paraId="17423CFB"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r w:rsidRPr="001F1FBB">
        <w:rPr>
          <w:rFonts w:ascii="Segoe UI" w:eastAsia="Times New Roman" w:hAnsi="Segoe UI" w:cs="Segoe UI"/>
          <w:i/>
          <w:iCs/>
          <w:color w:val="000000"/>
          <w:sz w:val="18"/>
          <w:szCs w:val="18"/>
          <w:lang w:val="es-CO" w:eastAsia="es-ES"/>
        </w:rPr>
        <w:t>i) “(…) </w:t>
      </w:r>
      <w:r w:rsidRPr="001F1FBB">
        <w:rPr>
          <w:rFonts w:ascii="Segoe UI" w:eastAsia="Times New Roman" w:hAnsi="Segoe UI" w:cs="Segoe UI"/>
          <w:b/>
          <w:bCs/>
          <w:i/>
          <w:iCs/>
          <w:color w:val="000000"/>
          <w:sz w:val="18"/>
          <w:szCs w:val="18"/>
          <w:lang w:val="es-CO" w:eastAsia="es-ES"/>
        </w:rPr>
        <w:t>las obligaciones que sean objeto de corrección </w:t>
      </w:r>
      <w:r w:rsidRPr="001F1FBB">
        <w:rPr>
          <w:rFonts w:ascii="Segoe UI" w:eastAsia="Times New Roman" w:hAnsi="Segoe UI" w:cs="Segoe UI"/>
          <w:i/>
          <w:iCs/>
          <w:color w:val="000000"/>
          <w:sz w:val="18"/>
          <w:szCs w:val="18"/>
          <w:lang w:val="es-CO" w:eastAsia="es-ES"/>
        </w:rPr>
        <w:t>o presentación extemporánea, los anticipos del Régimen Simple de Tributación, las obligaciones incluidas en actos administrativos y las obligaciones incluidas en sentencias judiciales, </w:t>
      </w:r>
      <w:r w:rsidRPr="001F1FBB">
        <w:rPr>
          <w:rFonts w:ascii="Segoe UI" w:eastAsia="Times New Roman" w:hAnsi="Segoe UI" w:cs="Segoe UI"/>
          <w:b/>
          <w:bCs/>
          <w:i/>
          <w:iCs/>
          <w:color w:val="000000"/>
          <w:sz w:val="18"/>
          <w:szCs w:val="18"/>
          <w:lang w:val="es-CO" w:eastAsia="es-ES"/>
        </w:rPr>
        <w:t>cuyo vencimiento fue hasta el treinta (30) de junio de 2021</w:t>
      </w:r>
      <w:r w:rsidRPr="001F1FBB">
        <w:rPr>
          <w:rFonts w:ascii="Segoe UI" w:eastAsia="Times New Roman" w:hAnsi="Segoe UI" w:cs="Segoe UI"/>
          <w:i/>
          <w:iCs/>
          <w:color w:val="000000"/>
          <w:sz w:val="18"/>
          <w:szCs w:val="18"/>
          <w:lang w:val="es-CO" w:eastAsia="es-ES"/>
        </w:rPr>
        <w:t>”. (Subrayado fuera de texto).</w:t>
      </w:r>
    </w:p>
    <w:p w14:paraId="632A16E3"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r w:rsidRPr="001F1FBB">
        <w:rPr>
          <w:rFonts w:ascii="Segoe UI" w:eastAsia="Times New Roman" w:hAnsi="Segoe UI" w:cs="Segoe UI"/>
          <w:color w:val="000000"/>
          <w:sz w:val="18"/>
          <w:szCs w:val="18"/>
          <w:lang w:val="es-CO" w:eastAsia="es-ES"/>
        </w:rPr>
        <w:t> </w:t>
      </w:r>
    </w:p>
    <w:p w14:paraId="60BCFB06"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proofErr w:type="spellStart"/>
      <w:r w:rsidRPr="001F1FBB">
        <w:rPr>
          <w:rFonts w:ascii="Segoe UI" w:eastAsia="Times New Roman" w:hAnsi="Segoe UI" w:cs="Segoe UI"/>
          <w:i/>
          <w:iCs/>
          <w:color w:val="000000"/>
          <w:sz w:val="18"/>
          <w:szCs w:val="18"/>
          <w:lang w:val="es-CO" w:eastAsia="es-ES"/>
        </w:rPr>
        <w:t>ii</w:t>
      </w:r>
      <w:proofErr w:type="spellEnd"/>
      <w:r w:rsidRPr="001F1FBB">
        <w:rPr>
          <w:rFonts w:ascii="Segoe UI" w:eastAsia="Times New Roman" w:hAnsi="Segoe UI" w:cs="Segoe UI"/>
          <w:i/>
          <w:iCs/>
          <w:color w:val="000000"/>
          <w:sz w:val="18"/>
          <w:szCs w:val="18"/>
          <w:lang w:val="es-CO" w:eastAsia="es-ES"/>
        </w:rPr>
        <w:t>) “(…) </w:t>
      </w:r>
      <w:r w:rsidRPr="001F1FBB">
        <w:rPr>
          <w:rFonts w:ascii="Segoe UI" w:eastAsia="Times New Roman" w:hAnsi="Segoe UI" w:cs="Segoe UI"/>
          <w:b/>
          <w:bCs/>
          <w:i/>
          <w:iCs/>
          <w:color w:val="000000"/>
          <w:sz w:val="18"/>
          <w:szCs w:val="18"/>
          <w:lang w:val="es-CO" w:eastAsia="es-ES"/>
        </w:rPr>
        <w:t>las sanciones autoliquidadas </w:t>
      </w:r>
      <w:r w:rsidRPr="001F1FBB">
        <w:rPr>
          <w:rFonts w:ascii="Segoe UI" w:eastAsia="Times New Roman" w:hAnsi="Segoe UI" w:cs="Segoe UI"/>
          <w:i/>
          <w:iCs/>
          <w:color w:val="000000"/>
          <w:sz w:val="18"/>
          <w:szCs w:val="18"/>
          <w:lang w:val="es-CO" w:eastAsia="es-ES"/>
        </w:rPr>
        <w:t>y las determinadas por la Unidad Administrativa Especial Dirección de Impuestos y Aduanas Nacionales- DIAN actualizadas en los términos del </w:t>
      </w:r>
      <w:hyperlink r:id="rId4" w:tooltip="Estatuto Tributario CETA" w:history="1">
        <w:r w:rsidRPr="001F1FBB">
          <w:rPr>
            <w:rFonts w:ascii="Segoe UI" w:eastAsia="Times New Roman" w:hAnsi="Segoe UI" w:cs="Segoe UI"/>
            <w:i/>
            <w:iCs/>
            <w:color w:val="0089E1"/>
            <w:sz w:val="18"/>
            <w:szCs w:val="18"/>
            <w:lang w:val="es-CO" w:eastAsia="es-ES"/>
          </w:rPr>
          <w:t>artículo 867-1</w:t>
        </w:r>
      </w:hyperlink>
      <w:r w:rsidRPr="001F1FBB">
        <w:rPr>
          <w:rFonts w:ascii="Segoe UI" w:eastAsia="Times New Roman" w:hAnsi="Segoe UI" w:cs="Segoe UI"/>
          <w:i/>
          <w:iCs/>
          <w:color w:val="000000"/>
          <w:sz w:val="18"/>
          <w:szCs w:val="18"/>
          <w:lang w:val="es-CO" w:eastAsia="es-ES"/>
        </w:rPr>
        <w:t> del Estatuto Tributario y </w:t>
      </w:r>
      <w:r w:rsidRPr="001F1FBB">
        <w:rPr>
          <w:rFonts w:ascii="Segoe UI" w:eastAsia="Times New Roman" w:hAnsi="Segoe UI" w:cs="Segoe UI"/>
          <w:b/>
          <w:bCs/>
          <w:i/>
          <w:iCs/>
          <w:color w:val="000000"/>
          <w:sz w:val="18"/>
          <w:szCs w:val="18"/>
          <w:u w:val="single"/>
          <w:lang w:val="es-CO" w:eastAsia="es-ES"/>
        </w:rPr>
        <w:t>que correspondan a hechos ocurridos con anterioridad al 30 de junio 2021</w:t>
      </w:r>
      <w:r w:rsidRPr="001F1FBB">
        <w:rPr>
          <w:rFonts w:ascii="Segoe UI" w:eastAsia="Times New Roman" w:hAnsi="Segoe UI" w:cs="Segoe UI"/>
          <w:i/>
          <w:iCs/>
          <w:color w:val="000000"/>
          <w:sz w:val="18"/>
          <w:szCs w:val="18"/>
          <w:lang w:val="es-CO" w:eastAsia="es-ES"/>
        </w:rPr>
        <w:t>”. (Subrayado fuera de texto).</w:t>
      </w:r>
    </w:p>
    <w:p w14:paraId="4CF6F8FC"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r w:rsidRPr="001F1FBB">
        <w:rPr>
          <w:rFonts w:ascii="Segoe UI" w:eastAsia="Times New Roman" w:hAnsi="Segoe UI" w:cs="Segoe UI"/>
          <w:color w:val="000000"/>
          <w:sz w:val="18"/>
          <w:szCs w:val="18"/>
          <w:lang w:val="es-CO" w:eastAsia="es-ES"/>
        </w:rPr>
        <w:t> </w:t>
      </w:r>
    </w:p>
    <w:p w14:paraId="39BAB34A"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proofErr w:type="spellStart"/>
      <w:r w:rsidRPr="001F1FBB">
        <w:rPr>
          <w:rFonts w:ascii="Segoe UI" w:eastAsia="Times New Roman" w:hAnsi="Segoe UI" w:cs="Segoe UI"/>
          <w:i/>
          <w:iCs/>
          <w:color w:val="000000"/>
          <w:sz w:val="18"/>
          <w:szCs w:val="18"/>
          <w:lang w:val="es-CO" w:eastAsia="es-ES"/>
        </w:rPr>
        <w:t>iii</w:t>
      </w:r>
      <w:proofErr w:type="spellEnd"/>
      <w:r w:rsidRPr="001F1FBB">
        <w:rPr>
          <w:rFonts w:ascii="Segoe UI" w:eastAsia="Times New Roman" w:hAnsi="Segoe UI" w:cs="Segoe UI"/>
          <w:i/>
          <w:iCs/>
          <w:color w:val="000000"/>
          <w:sz w:val="18"/>
          <w:szCs w:val="18"/>
          <w:lang w:val="es-CO" w:eastAsia="es-ES"/>
        </w:rPr>
        <w:t>) “(…) los saldos de obligaciones incluidas en facilidades de pago vigentes, así como, los saldos de facilidades de pago declaradas incumplidas y las obligaciones contenidas en </w:t>
      </w:r>
      <w:r w:rsidRPr="001F1FBB">
        <w:rPr>
          <w:rFonts w:ascii="Segoe UI" w:eastAsia="Times New Roman" w:hAnsi="Segoe UI" w:cs="Segoe UI"/>
          <w:i/>
          <w:iCs/>
          <w:color w:val="000000"/>
          <w:sz w:val="18"/>
          <w:szCs w:val="18"/>
          <w:u w:val="single"/>
          <w:lang w:val="es-CO" w:eastAsia="es-ES"/>
        </w:rPr>
        <w:t>declaraciones ineficaces</w:t>
      </w:r>
      <w:r w:rsidRPr="001F1FBB">
        <w:rPr>
          <w:rFonts w:ascii="Segoe UI" w:eastAsia="Times New Roman" w:hAnsi="Segoe UI" w:cs="Segoe UI"/>
          <w:i/>
          <w:iCs/>
          <w:color w:val="000000"/>
          <w:sz w:val="18"/>
          <w:szCs w:val="18"/>
          <w:lang w:val="es-CO" w:eastAsia="es-ES"/>
        </w:rPr>
        <w:t xml:space="preserve"> presentadas con posterioridad a la </w:t>
      </w:r>
      <w:proofErr w:type="gramStart"/>
      <w:r w:rsidRPr="001F1FBB">
        <w:rPr>
          <w:rFonts w:ascii="Segoe UI" w:eastAsia="Times New Roman" w:hAnsi="Segoe UI" w:cs="Segoe UI"/>
          <w:i/>
          <w:iCs/>
          <w:color w:val="000000"/>
          <w:sz w:val="18"/>
          <w:szCs w:val="18"/>
          <w:lang w:val="es-CO" w:eastAsia="es-ES"/>
        </w:rPr>
        <w:t>entrada en vigencia</w:t>
      </w:r>
      <w:proofErr w:type="gramEnd"/>
      <w:r w:rsidRPr="001F1FBB">
        <w:rPr>
          <w:rFonts w:ascii="Segoe UI" w:eastAsia="Times New Roman" w:hAnsi="Segoe UI" w:cs="Segoe UI"/>
          <w:i/>
          <w:iCs/>
          <w:color w:val="000000"/>
          <w:sz w:val="18"/>
          <w:szCs w:val="18"/>
          <w:lang w:val="es-CO" w:eastAsia="es-ES"/>
        </w:rPr>
        <w:t xml:space="preserve"> de las Leyes 1943 de 2018 y 2010 de 2019, así sean de períodos anteriores (…)”. (Subrayado fuera de texto).</w:t>
      </w:r>
    </w:p>
    <w:p w14:paraId="4A7CEC42"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r w:rsidRPr="001F1FBB">
        <w:rPr>
          <w:rFonts w:ascii="Segoe UI" w:eastAsia="Times New Roman" w:hAnsi="Segoe UI" w:cs="Segoe UI"/>
          <w:color w:val="000000"/>
          <w:sz w:val="18"/>
          <w:szCs w:val="18"/>
          <w:lang w:val="es-CO" w:eastAsia="es-ES"/>
        </w:rPr>
        <w:t> </w:t>
      </w:r>
    </w:p>
    <w:p w14:paraId="358079AB"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r w:rsidRPr="001F1FBB">
        <w:rPr>
          <w:rFonts w:ascii="Segoe UI" w:eastAsia="Times New Roman" w:hAnsi="Segoe UI" w:cs="Segoe UI"/>
          <w:i/>
          <w:iCs/>
          <w:color w:val="000000"/>
          <w:sz w:val="18"/>
          <w:szCs w:val="18"/>
          <w:lang w:val="es-CO" w:eastAsia="es-ES"/>
        </w:rPr>
        <w:t>En línea con lo antepuesto, no sobra indicar que el citado artículo 45 </w:t>
      </w:r>
      <w:r w:rsidRPr="001F1FBB">
        <w:rPr>
          <w:rFonts w:ascii="Segoe UI" w:eastAsia="Times New Roman" w:hAnsi="Segoe UI" w:cs="Segoe UI"/>
          <w:b/>
          <w:bCs/>
          <w:i/>
          <w:iCs/>
          <w:color w:val="000000"/>
          <w:sz w:val="18"/>
          <w:szCs w:val="18"/>
          <w:lang w:val="es-CO" w:eastAsia="es-ES"/>
        </w:rPr>
        <w:t>no se refirió expresa ni exclusivamente a obligaciones contenidas en títulos ejecutivos</w:t>
      </w:r>
      <w:r w:rsidRPr="001F1FBB">
        <w:rPr>
          <w:rFonts w:ascii="Segoe UI" w:eastAsia="Times New Roman" w:hAnsi="Segoe UI" w:cs="Segoe UI"/>
          <w:i/>
          <w:iCs/>
          <w:color w:val="000000"/>
          <w:sz w:val="18"/>
          <w:szCs w:val="18"/>
          <w:lang w:val="es-CO" w:eastAsia="es-ES"/>
        </w:rPr>
        <w:t>.</w:t>
      </w:r>
    </w:p>
    <w:p w14:paraId="1CC858DC"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r w:rsidRPr="001F1FBB">
        <w:rPr>
          <w:rFonts w:ascii="Segoe UI" w:eastAsia="Times New Roman" w:hAnsi="Segoe UI" w:cs="Segoe UI"/>
          <w:i/>
          <w:iCs/>
          <w:color w:val="000000"/>
          <w:sz w:val="18"/>
          <w:szCs w:val="18"/>
          <w:lang w:val="es-CO" w:eastAsia="es-ES"/>
        </w:rPr>
        <w:t> </w:t>
      </w:r>
    </w:p>
    <w:p w14:paraId="4D05AB31"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r w:rsidRPr="001F1FBB">
        <w:rPr>
          <w:rFonts w:ascii="Segoe UI" w:eastAsia="Times New Roman" w:hAnsi="Segoe UI" w:cs="Segoe UI"/>
          <w:i/>
          <w:iCs/>
          <w:color w:val="000000"/>
          <w:sz w:val="18"/>
          <w:szCs w:val="18"/>
          <w:lang w:val="es-CO" w:eastAsia="es-ES"/>
        </w:rPr>
        <w:t xml:space="preserve">En cuanto al incumplimiento ocasionado o agravado por el COVID-19, el artículo 3 de la Resolución DIAN </w:t>
      </w:r>
      <w:proofErr w:type="spellStart"/>
      <w:r w:rsidRPr="001F1FBB">
        <w:rPr>
          <w:rFonts w:ascii="Segoe UI" w:eastAsia="Times New Roman" w:hAnsi="Segoe UI" w:cs="Segoe UI"/>
          <w:i/>
          <w:iCs/>
          <w:color w:val="000000"/>
          <w:sz w:val="18"/>
          <w:szCs w:val="18"/>
          <w:lang w:val="es-CO" w:eastAsia="es-ES"/>
        </w:rPr>
        <w:t>N°</w:t>
      </w:r>
      <w:proofErr w:type="spellEnd"/>
      <w:r w:rsidRPr="001F1FBB">
        <w:rPr>
          <w:rFonts w:ascii="Segoe UI" w:eastAsia="Times New Roman" w:hAnsi="Segoe UI" w:cs="Segoe UI"/>
          <w:i/>
          <w:iCs/>
          <w:color w:val="000000"/>
          <w:sz w:val="18"/>
          <w:szCs w:val="18"/>
          <w:lang w:val="es-CO" w:eastAsia="es-ES"/>
        </w:rPr>
        <w:t xml:space="preserve"> 000126 precisa que:</w:t>
      </w:r>
    </w:p>
    <w:p w14:paraId="6D854446"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r w:rsidRPr="001F1FBB">
        <w:rPr>
          <w:rFonts w:ascii="Segoe UI" w:eastAsia="Times New Roman" w:hAnsi="Segoe UI" w:cs="Segoe UI"/>
          <w:b/>
          <w:bCs/>
          <w:i/>
          <w:iCs/>
          <w:color w:val="000000"/>
          <w:sz w:val="18"/>
          <w:szCs w:val="18"/>
          <w:lang w:val="es-CO" w:eastAsia="es-ES"/>
        </w:rPr>
        <w:t> </w:t>
      </w:r>
    </w:p>
    <w:p w14:paraId="2C992A97"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r w:rsidRPr="001F1FBB">
        <w:rPr>
          <w:rFonts w:ascii="Segoe UI" w:eastAsia="Times New Roman" w:hAnsi="Segoe UI" w:cs="Segoe UI"/>
          <w:b/>
          <w:bCs/>
          <w:i/>
          <w:iCs/>
          <w:color w:val="000000"/>
          <w:sz w:val="18"/>
          <w:szCs w:val="18"/>
          <w:lang w:val="es-CO" w:eastAsia="es-ES"/>
        </w:rPr>
        <w:t>i) El incumplimiento se debió generar:</w:t>
      </w:r>
    </w:p>
    <w:p w14:paraId="0B03B1C2"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r w:rsidRPr="001F1FBB">
        <w:rPr>
          <w:rFonts w:ascii="Segoe UI" w:eastAsia="Times New Roman" w:hAnsi="Segoe UI" w:cs="Segoe UI"/>
          <w:color w:val="000000"/>
          <w:sz w:val="18"/>
          <w:szCs w:val="18"/>
          <w:lang w:val="es-CO" w:eastAsia="es-ES"/>
        </w:rPr>
        <w:t> </w:t>
      </w:r>
    </w:p>
    <w:p w14:paraId="27C71D38"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r w:rsidRPr="001F1FBB">
        <w:rPr>
          <w:rFonts w:ascii="Symbol" w:eastAsia="Times New Roman" w:hAnsi="Symbol" w:cs="Arial"/>
          <w:color w:val="000000"/>
          <w:sz w:val="18"/>
          <w:szCs w:val="18"/>
          <w:lang w:val="es-CO" w:eastAsia="es-ES"/>
        </w:rPr>
        <w:t>·</w:t>
      </w:r>
      <w:r w:rsidRPr="001F1FBB">
        <w:rPr>
          <w:rFonts w:ascii="Times New Roman" w:eastAsia="Times New Roman" w:hAnsi="Times New Roman" w:cs="Times New Roman"/>
          <w:color w:val="000000"/>
          <w:sz w:val="14"/>
          <w:szCs w:val="14"/>
          <w:lang w:val="es-CO" w:eastAsia="es-ES"/>
        </w:rPr>
        <w:t>           </w:t>
      </w:r>
      <w:r w:rsidRPr="001F1FBB">
        <w:rPr>
          <w:rFonts w:ascii="Segoe UI" w:eastAsia="Times New Roman" w:hAnsi="Segoe UI" w:cs="Segoe UI"/>
          <w:i/>
          <w:iCs/>
          <w:color w:val="000000"/>
          <w:sz w:val="18"/>
          <w:szCs w:val="18"/>
          <w:lang w:val="es-CO" w:eastAsia="es-ES"/>
        </w:rPr>
        <w:t>Una vez declarado el Estado de Emergencia Económica, Social y Ecológica en todo el territorio nacional como consecuencia de la pandemia generada por el COVID-19, o</w:t>
      </w:r>
    </w:p>
    <w:p w14:paraId="1CB8BA99"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r w:rsidRPr="001F1FBB">
        <w:rPr>
          <w:rFonts w:ascii="Segoe UI" w:eastAsia="Times New Roman" w:hAnsi="Segoe UI" w:cs="Segoe UI"/>
          <w:color w:val="000000"/>
          <w:sz w:val="18"/>
          <w:szCs w:val="18"/>
          <w:lang w:val="es-CO" w:eastAsia="es-ES"/>
        </w:rPr>
        <w:t> </w:t>
      </w:r>
    </w:p>
    <w:p w14:paraId="75DB3D78"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r w:rsidRPr="001F1FBB">
        <w:rPr>
          <w:rFonts w:ascii="Symbol" w:eastAsia="Times New Roman" w:hAnsi="Symbol" w:cs="Arial"/>
          <w:color w:val="000000"/>
          <w:sz w:val="18"/>
          <w:szCs w:val="18"/>
          <w:lang w:val="es-CO" w:eastAsia="es-ES"/>
        </w:rPr>
        <w:t>·</w:t>
      </w:r>
      <w:r w:rsidRPr="001F1FBB">
        <w:rPr>
          <w:rFonts w:ascii="Times New Roman" w:eastAsia="Times New Roman" w:hAnsi="Times New Roman" w:cs="Times New Roman"/>
          <w:color w:val="000000"/>
          <w:sz w:val="14"/>
          <w:szCs w:val="14"/>
          <w:lang w:val="es-CO" w:eastAsia="es-ES"/>
        </w:rPr>
        <w:t>           </w:t>
      </w:r>
      <w:r w:rsidRPr="001F1FBB">
        <w:rPr>
          <w:rFonts w:ascii="Segoe UI" w:eastAsia="Times New Roman" w:hAnsi="Segoe UI" w:cs="Segoe UI"/>
          <w:b/>
          <w:bCs/>
          <w:i/>
          <w:iCs/>
          <w:color w:val="000000"/>
          <w:sz w:val="18"/>
          <w:szCs w:val="18"/>
          <w:u w:val="single"/>
          <w:lang w:val="es-CO" w:eastAsia="es-ES"/>
        </w:rPr>
        <w:t>Con anterioridad a dicha declaratoria, siempre y cuando se haya agravado como consecuencia del COVID-19</w:t>
      </w:r>
      <w:r w:rsidRPr="001F1FBB">
        <w:rPr>
          <w:rFonts w:ascii="Segoe UI" w:eastAsia="Times New Roman" w:hAnsi="Segoe UI" w:cs="Segoe UI"/>
          <w:i/>
          <w:iCs/>
          <w:color w:val="000000"/>
          <w:sz w:val="18"/>
          <w:szCs w:val="18"/>
          <w:u w:val="single"/>
          <w:lang w:val="es-CO" w:eastAsia="es-ES"/>
        </w:rPr>
        <w:t>.</w:t>
      </w:r>
    </w:p>
    <w:p w14:paraId="76D22624" w14:textId="77777777" w:rsidR="001F1FBB" w:rsidRPr="001F1FBB" w:rsidRDefault="001F1FBB" w:rsidP="001F1FBB">
      <w:pPr>
        <w:spacing w:after="0" w:line="240" w:lineRule="auto"/>
        <w:jc w:val="both"/>
        <w:rPr>
          <w:rFonts w:ascii="Arial" w:eastAsia="Times New Roman" w:hAnsi="Arial" w:cs="Arial"/>
          <w:color w:val="000000"/>
          <w:sz w:val="18"/>
          <w:szCs w:val="18"/>
          <w:lang w:eastAsia="es-ES"/>
        </w:rPr>
      </w:pPr>
      <w:r w:rsidRPr="001F1FBB">
        <w:rPr>
          <w:rFonts w:ascii="Segoe UI" w:eastAsia="Times New Roman" w:hAnsi="Segoe UI" w:cs="Segoe UI"/>
          <w:color w:val="000000"/>
          <w:sz w:val="18"/>
          <w:szCs w:val="18"/>
          <w:lang w:val="es-CO" w:eastAsia="es-ES"/>
        </w:rPr>
        <w:t> </w:t>
      </w:r>
    </w:p>
    <w:p w14:paraId="770E3586"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proofErr w:type="spellStart"/>
      <w:r w:rsidRPr="001F1FBB">
        <w:rPr>
          <w:rFonts w:ascii="Segoe UI" w:eastAsia="Times New Roman" w:hAnsi="Segoe UI" w:cs="Segoe UI"/>
          <w:i/>
          <w:iCs/>
          <w:color w:val="000000"/>
          <w:sz w:val="18"/>
          <w:szCs w:val="18"/>
          <w:lang w:val="es-CO" w:eastAsia="es-ES"/>
        </w:rPr>
        <w:t>iv</w:t>
      </w:r>
      <w:proofErr w:type="spellEnd"/>
      <w:r w:rsidRPr="001F1FBB">
        <w:rPr>
          <w:rFonts w:ascii="Segoe UI" w:eastAsia="Times New Roman" w:hAnsi="Segoe UI" w:cs="Segoe UI"/>
          <w:i/>
          <w:iCs/>
          <w:color w:val="000000"/>
          <w:sz w:val="18"/>
          <w:szCs w:val="18"/>
          <w:lang w:val="es-CO" w:eastAsia="es-ES"/>
        </w:rPr>
        <w:t>) “El concepto de ‘agravado’ (…) deberá entenderse en su sentido natural y obvio” (cfr. artículo 28 del Código Civil). Para ello, cada administrado en su caso particular deberá contemplar el término “agravar” de conformidad con lo definido en el Diccionario de la Real Academia Española, en virtud del cual se entiende por tal: “Aumentar el peso de algo, hacer que sea más pesado </w:t>
      </w:r>
      <w:r w:rsidRPr="001F1FBB">
        <w:rPr>
          <w:rFonts w:ascii="Segoe UI" w:eastAsia="Times New Roman" w:hAnsi="Segoe UI" w:cs="Segoe UI"/>
          <w:i/>
          <w:iCs/>
          <w:color w:val="000000"/>
          <w:sz w:val="18"/>
          <w:szCs w:val="18"/>
          <w:u w:val="single"/>
          <w:lang w:val="es-CO" w:eastAsia="es-ES"/>
        </w:rPr>
        <w:t>(…) Hacer algo más grave (…) de lo que era</w:t>
      </w:r>
      <w:r w:rsidRPr="001F1FBB">
        <w:rPr>
          <w:rFonts w:ascii="Segoe UI" w:eastAsia="Times New Roman" w:hAnsi="Segoe UI" w:cs="Segoe UI"/>
          <w:i/>
          <w:iCs/>
          <w:color w:val="000000"/>
          <w:sz w:val="18"/>
          <w:szCs w:val="18"/>
          <w:lang w:val="es-CO" w:eastAsia="es-ES"/>
        </w:rPr>
        <w:t>”. (Subrayado fuera de texto).</w:t>
      </w:r>
    </w:p>
    <w:p w14:paraId="77285F05"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r w:rsidRPr="001F1FBB">
        <w:rPr>
          <w:rFonts w:ascii="Segoe UI" w:eastAsia="Times New Roman" w:hAnsi="Segoe UI" w:cs="Segoe UI"/>
          <w:i/>
          <w:iCs/>
          <w:color w:val="000000"/>
          <w:sz w:val="18"/>
          <w:szCs w:val="18"/>
          <w:lang w:val="es-CO" w:eastAsia="es-ES"/>
        </w:rPr>
        <w:t> </w:t>
      </w:r>
    </w:p>
    <w:p w14:paraId="62D24112"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r w:rsidRPr="001F1FBB">
        <w:rPr>
          <w:rFonts w:ascii="Segoe UI" w:eastAsia="Times New Roman" w:hAnsi="Segoe UI" w:cs="Segoe UI"/>
          <w:i/>
          <w:iCs/>
          <w:color w:val="000000"/>
          <w:sz w:val="18"/>
          <w:szCs w:val="18"/>
          <w:lang w:val="es-CO" w:eastAsia="es-ES"/>
        </w:rPr>
        <w:t xml:space="preserve">Por último, es de señalar que el artículo 4 de la mencionada Resolución DIAN </w:t>
      </w:r>
      <w:proofErr w:type="spellStart"/>
      <w:r w:rsidRPr="001F1FBB">
        <w:rPr>
          <w:rFonts w:ascii="Segoe UI" w:eastAsia="Times New Roman" w:hAnsi="Segoe UI" w:cs="Segoe UI"/>
          <w:i/>
          <w:iCs/>
          <w:color w:val="000000"/>
          <w:sz w:val="18"/>
          <w:szCs w:val="18"/>
          <w:lang w:val="es-CO" w:eastAsia="es-ES"/>
        </w:rPr>
        <w:t>N°</w:t>
      </w:r>
      <w:proofErr w:type="spellEnd"/>
      <w:r w:rsidRPr="001F1FBB">
        <w:rPr>
          <w:rFonts w:ascii="Segoe UI" w:eastAsia="Times New Roman" w:hAnsi="Segoe UI" w:cs="Segoe UI"/>
          <w:i/>
          <w:iCs/>
          <w:color w:val="000000"/>
          <w:sz w:val="18"/>
          <w:szCs w:val="18"/>
          <w:lang w:val="es-CO" w:eastAsia="es-ES"/>
        </w:rPr>
        <w:t xml:space="preserve"> 000126 indica que </w:t>
      </w:r>
      <w:r w:rsidRPr="001F1FBB">
        <w:rPr>
          <w:rFonts w:ascii="Segoe UI" w:eastAsia="Times New Roman" w:hAnsi="Segoe UI" w:cs="Segoe UI"/>
          <w:b/>
          <w:bCs/>
          <w:i/>
          <w:iCs/>
          <w:color w:val="000000"/>
          <w:sz w:val="18"/>
          <w:szCs w:val="18"/>
          <w:u w:val="single"/>
          <w:lang w:val="es-CO" w:eastAsia="es-ES"/>
        </w:rPr>
        <w:t>no se requiere presentar una solicitud a esta Entidad para aplicar el citado artículo 45</w:t>
      </w:r>
      <w:r w:rsidRPr="001F1FBB">
        <w:rPr>
          <w:rFonts w:ascii="Segoe UI" w:eastAsia="Times New Roman" w:hAnsi="Segoe UI" w:cs="Segoe UI"/>
          <w:i/>
          <w:iCs/>
          <w:color w:val="000000"/>
          <w:sz w:val="18"/>
          <w:szCs w:val="18"/>
          <w:lang w:val="es-CO" w:eastAsia="es-ES"/>
        </w:rPr>
        <w:t>, sin perjuicio de las amplias facultades de revisión y comprobación posterior que le asisten a la Administración. </w:t>
      </w:r>
      <w:r w:rsidRPr="001F1FBB">
        <w:rPr>
          <w:rFonts w:ascii="Segoe UI" w:eastAsia="Times New Roman" w:hAnsi="Segoe UI" w:cs="Segoe UI"/>
          <w:color w:val="000000"/>
          <w:sz w:val="18"/>
          <w:szCs w:val="18"/>
          <w:lang w:val="es-CO" w:eastAsia="es-ES"/>
        </w:rPr>
        <w:t>(…)”. </w:t>
      </w:r>
      <w:r w:rsidRPr="001F1FBB">
        <w:rPr>
          <w:rFonts w:ascii="Segoe UI" w:eastAsia="Times New Roman" w:hAnsi="Segoe UI" w:cs="Segoe UI"/>
          <w:i/>
          <w:iCs/>
          <w:color w:val="000000"/>
          <w:sz w:val="18"/>
          <w:szCs w:val="18"/>
          <w:lang w:val="es-CO" w:eastAsia="es-ES"/>
        </w:rPr>
        <w:t>(Subrayado y negrilla fuera de texto).</w:t>
      </w:r>
    </w:p>
    <w:p w14:paraId="37172BED"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r w:rsidRPr="001F1FBB">
        <w:rPr>
          <w:rFonts w:ascii="Segoe UI" w:eastAsia="Times New Roman" w:hAnsi="Segoe UI" w:cs="Segoe UI"/>
          <w:b/>
          <w:bCs/>
          <w:i/>
          <w:iCs/>
          <w:color w:val="000000"/>
          <w:sz w:val="18"/>
          <w:szCs w:val="18"/>
          <w:lang w:val="es-CO" w:eastAsia="es-ES"/>
        </w:rPr>
        <w:t> </w:t>
      </w:r>
    </w:p>
    <w:p w14:paraId="0EFCFB84"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r w:rsidRPr="001F1FBB">
        <w:rPr>
          <w:rFonts w:ascii="Segoe UI" w:eastAsia="Times New Roman" w:hAnsi="Segoe UI" w:cs="Segoe UI"/>
          <w:b/>
          <w:bCs/>
          <w:i/>
          <w:iCs/>
          <w:color w:val="000000"/>
          <w:sz w:val="18"/>
          <w:szCs w:val="18"/>
          <w:lang w:val="es-CO" w:eastAsia="es-ES"/>
        </w:rPr>
        <w:t>9. “¿El artículo 45 de la Ley 2155 de 2021 cobija obligaciones que presentan mora en el pago a 30 de junio de 2021 </w:t>
      </w:r>
      <w:r w:rsidRPr="001F1FBB">
        <w:rPr>
          <w:rFonts w:ascii="Segoe UI" w:eastAsia="Times New Roman" w:hAnsi="Segoe UI" w:cs="Segoe UI"/>
          <w:b/>
          <w:bCs/>
          <w:i/>
          <w:iCs/>
          <w:color w:val="000000"/>
          <w:sz w:val="18"/>
          <w:szCs w:val="18"/>
          <w:u w:val="single"/>
          <w:lang w:val="es-CO" w:eastAsia="es-ES"/>
        </w:rPr>
        <w:t>correspondientes a los años gravables 2020 y anteriores</w:t>
      </w:r>
      <w:r w:rsidRPr="001F1FBB">
        <w:rPr>
          <w:rFonts w:ascii="Segoe UI" w:eastAsia="Times New Roman" w:hAnsi="Segoe UI" w:cs="Segoe UI"/>
          <w:b/>
          <w:bCs/>
          <w:i/>
          <w:iCs/>
          <w:color w:val="000000"/>
          <w:sz w:val="18"/>
          <w:szCs w:val="18"/>
          <w:lang w:val="es-CO" w:eastAsia="es-ES"/>
        </w:rPr>
        <w:t> o exigibles en dichos períodos?</w:t>
      </w:r>
    </w:p>
    <w:p w14:paraId="1A49B752"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r w:rsidRPr="001F1FBB">
        <w:rPr>
          <w:rFonts w:ascii="Segoe UI" w:eastAsia="Times New Roman" w:hAnsi="Segoe UI" w:cs="Segoe UI"/>
          <w:color w:val="000000"/>
          <w:sz w:val="18"/>
          <w:szCs w:val="18"/>
          <w:lang w:val="es-CO" w:eastAsia="es-ES"/>
        </w:rPr>
        <w:t> </w:t>
      </w:r>
    </w:p>
    <w:p w14:paraId="190A7964"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r w:rsidRPr="001F1FBB">
        <w:rPr>
          <w:rFonts w:ascii="Segoe UI" w:eastAsia="Times New Roman" w:hAnsi="Segoe UI" w:cs="Segoe UI"/>
          <w:i/>
          <w:iCs/>
          <w:color w:val="000000"/>
          <w:sz w:val="18"/>
          <w:szCs w:val="18"/>
          <w:lang w:val="es-CO" w:eastAsia="es-ES"/>
        </w:rPr>
        <w:t xml:space="preserve">Como se explicó en el punto #3, las obligaciones amparadas por el artículo 45 </w:t>
      </w:r>
      <w:proofErr w:type="spellStart"/>
      <w:r w:rsidRPr="001F1FBB">
        <w:rPr>
          <w:rFonts w:ascii="Segoe UI" w:eastAsia="Times New Roman" w:hAnsi="Segoe UI" w:cs="Segoe UI"/>
          <w:i/>
          <w:iCs/>
          <w:color w:val="000000"/>
          <w:sz w:val="18"/>
          <w:szCs w:val="18"/>
          <w:lang w:val="es-CO" w:eastAsia="es-ES"/>
        </w:rPr>
        <w:t>ibídem</w:t>
      </w:r>
      <w:proofErr w:type="spellEnd"/>
      <w:r w:rsidRPr="001F1FBB">
        <w:rPr>
          <w:rFonts w:ascii="Segoe UI" w:eastAsia="Times New Roman" w:hAnsi="Segoe UI" w:cs="Segoe UI"/>
          <w:i/>
          <w:iCs/>
          <w:color w:val="000000"/>
          <w:sz w:val="18"/>
          <w:szCs w:val="18"/>
          <w:lang w:val="es-CO" w:eastAsia="es-ES"/>
        </w:rPr>
        <w:t xml:space="preserve"> son aquellas que </w:t>
      </w:r>
      <w:r w:rsidRPr="001F1FBB">
        <w:rPr>
          <w:rFonts w:ascii="Segoe UI" w:eastAsia="Times New Roman" w:hAnsi="Segoe UI" w:cs="Segoe UI"/>
          <w:b/>
          <w:bCs/>
          <w:i/>
          <w:iCs/>
          <w:color w:val="000000"/>
          <w:sz w:val="18"/>
          <w:szCs w:val="18"/>
          <w:lang w:val="es-CO" w:eastAsia="es-ES"/>
        </w:rPr>
        <w:t>presenten mora en el pago (es decir, que no hayan sido canceladas oportunamente) al 30 de junio de 2021 </w:t>
      </w:r>
      <w:r w:rsidRPr="001F1FBB">
        <w:rPr>
          <w:rFonts w:ascii="Segoe UI" w:eastAsia="Times New Roman" w:hAnsi="Segoe UI" w:cs="Segoe UI"/>
          <w:i/>
          <w:iCs/>
          <w:color w:val="000000"/>
          <w:sz w:val="18"/>
          <w:szCs w:val="18"/>
          <w:lang w:val="es-CO" w:eastAsia="es-ES"/>
        </w:rPr>
        <w:t>y que, adicionalmente:</w:t>
      </w:r>
    </w:p>
    <w:p w14:paraId="41DFB86F"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r w:rsidRPr="001F1FBB">
        <w:rPr>
          <w:rFonts w:ascii="Segoe UI" w:eastAsia="Times New Roman" w:hAnsi="Segoe UI" w:cs="Segoe UI"/>
          <w:i/>
          <w:iCs/>
          <w:color w:val="000000"/>
          <w:sz w:val="18"/>
          <w:szCs w:val="18"/>
          <w:lang w:val="es-CO" w:eastAsia="es-ES"/>
        </w:rPr>
        <w:t> </w:t>
      </w:r>
    </w:p>
    <w:p w14:paraId="3EB362A0"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r w:rsidRPr="001F1FBB">
        <w:rPr>
          <w:rFonts w:ascii="Segoe UI" w:eastAsia="Times New Roman" w:hAnsi="Segoe UI" w:cs="Segoe UI"/>
          <w:i/>
          <w:iCs/>
          <w:color w:val="000000"/>
          <w:sz w:val="18"/>
          <w:szCs w:val="18"/>
          <w:lang w:val="es-CO" w:eastAsia="es-ES"/>
        </w:rPr>
        <w:t>i) Su incumplimiento se haya </w:t>
      </w:r>
      <w:r w:rsidRPr="001F1FBB">
        <w:rPr>
          <w:rFonts w:ascii="Segoe UI" w:eastAsia="Times New Roman" w:hAnsi="Segoe UI" w:cs="Segoe UI"/>
          <w:b/>
          <w:bCs/>
          <w:i/>
          <w:iCs/>
          <w:color w:val="000000"/>
          <w:sz w:val="18"/>
          <w:szCs w:val="18"/>
          <w:lang w:val="es-CO" w:eastAsia="es-ES"/>
        </w:rPr>
        <w:t>generado </w:t>
      </w:r>
      <w:r w:rsidRPr="001F1FBB">
        <w:rPr>
          <w:rFonts w:ascii="Segoe UI" w:eastAsia="Times New Roman" w:hAnsi="Segoe UI" w:cs="Segoe UI"/>
          <w:i/>
          <w:iCs/>
          <w:color w:val="000000"/>
          <w:sz w:val="18"/>
          <w:szCs w:val="18"/>
          <w:lang w:val="es-CO" w:eastAsia="es-ES"/>
        </w:rPr>
        <w:t>una vez declarado el Estado de Emergencia Económica, Social y Ecológica en todo el territorio nacional como consecuencia de la pandemia generada por el COVID-19, lo cual aconteció el 17 de marzo de 2020 con la publicación del Decreto 417 del 2020, o</w:t>
      </w:r>
    </w:p>
    <w:p w14:paraId="02DB67F9"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proofErr w:type="spellStart"/>
      <w:r w:rsidRPr="001F1FBB">
        <w:rPr>
          <w:rFonts w:ascii="Segoe UI" w:eastAsia="Times New Roman" w:hAnsi="Segoe UI" w:cs="Segoe UI"/>
          <w:i/>
          <w:iCs/>
          <w:color w:val="000000"/>
          <w:sz w:val="18"/>
          <w:szCs w:val="18"/>
          <w:lang w:val="es-CO" w:eastAsia="es-ES"/>
        </w:rPr>
        <w:lastRenderedPageBreak/>
        <w:t>ii</w:t>
      </w:r>
      <w:proofErr w:type="spellEnd"/>
      <w:r w:rsidRPr="001F1FBB">
        <w:rPr>
          <w:rFonts w:ascii="Segoe UI" w:eastAsia="Times New Roman" w:hAnsi="Segoe UI" w:cs="Segoe UI"/>
          <w:i/>
          <w:iCs/>
          <w:color w:val="000000"/>
          <w:sz w:val="18"/>
          <w:szCs w:val="18"/>
          <w:lang w:val="es-CO" w:eastAsia="es-ES"/>
        </w:rPr>
        <w:t>) Su incumplimiento se haya generado con anterioridad a la referida declaratoria, siempre y cuando este se haya </w:t>
      </w:r>
      <w:r w:rsidRPr="001F1FBB">
        <w:rPr>
          <w:rFonts w:ascii="Segoe UI" w:eastAsia="Times New Roman" w:hAnsi="Segoe UI" w:cs="Segoe UI"/>
          <w:b/>
          <w:bCs/>
          <w:i/>
          <w:iCs/>
          <w:color w:val="000000"/>
          <w:sz w:val="18"/>
          <w:szCs w:val="18"/>
          <w:lang w:val="es-CO" w:eastAsia="es-ES"/>
        </w:rPr>
        <w:t>agravado </w:t>
      </w:r>
      <w:r w:rsidRPr="001F1FBB">
        <w:rPr>
          <w:rFonts w:ascii="Segoe UI" w:eastAsia="Times New Roman" w:hAnsi="Segoe UI" w:cs="Segoe UI"/>
          <w:i/>
          <w:iCs/>
          <w:color w:val="000000"/>
          <w:sz w:val="18"/>
          <w:szCs w:val="18"/>
          <w:lang w:val="es-CO" w:eastAsia="es-ES"/>
        </w:rPr>
        <w:t>por el COVID-19”.</w:t>
      </w:r>
    </w:p>
    <w:p w14:paraId="363078C0"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r w:rsidRPr="001F1FBB">
        <w:rPr>
          <w:rFonts w:ascii="Segoe UI" w:eastAsia="Times New Roman" w:hAnsi="Segoe UI" w:cs="Segoe UI"/>
          <w:color w:val="000000"/>
          <w:sz w:val="18"/>
          <w:szCs w:val="18"/>
          <w:lang w:val="es-CO" w:eastAsia="es-ES"/>
        </w:rPr>
        <w:t> </w:t>
      </w:r>
    </w:p>
    <w:p w14:paraId="7C95278E"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r w:rsidRPr="001F1FBB">
        <w:rPr>
          <w:rFonts w:ascii="Segoe UI" w:eastAsia="Times New Roman" w:hAnsi="Segoe UI" w:cs="Segoe UI"/>
          <w:b/>
          <w:bCs/>
          <w:i/>
          <w:iCs/>
          <w:color w:val="000000"/>
          <w:sz w:val="18"/>
          <w:szCs w:val="18"/>
          <w:lang w:val="es-CO" w:eastAsia="es-ES"/>
        </w:rPr>
        <w:t>10. En relación con obligaciones:</w:t>
      </w:r>
    </w:p>
    <w:p w14:paraId="011B6036"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r w:rsidRPr="001F1FBB">
        <w:rPr>
          <w:rFonts w:ascii="Symbol" w:eastAsia="Times New Roman" w:hAnsi="Symbol" w:cs="Arial"/>
          <w:color w:val="000000"/>
          <w:sz w:val="18"/>
          <w:szCs w:val="18"/>
          <w:lang w:val="es-CO" w:eastAsia="es-ES"/>
        </w:rPr>
        <w:t>·</w:t>
      </w:r>
      <w:r w:rsidRPr="001F1FBB">
        <w:rPr>
          <w:rFonts w:ascii="Times New Roman" w:eastAsia="Times New Roman" w:hAnsi="Times New Roman" w:cs="Times New Roman"/>
          <w:color w:val="000000"/>
          <w:sz w:val="14"/>
          <w:szCs w:val="14"/>
          <w:lang w:val="es-CO" w:eastAsia="es-ES"/>
        </w:rPr>
        <w:t>           </w:t>
      </w:r>
      <w:r w:rsidRPr="001F1FBB">
        <w:rPr>
          <w:rFonts w:ascii="Segoe UI" w:eastAsia="Times New Roman" w:hAnsi="Segoe UI" w:cs="Segoe UI"/>
          <w:i/>
          <w:iCs/>
          <w:color w:val="000000"/>
          <w:sz w:val="18"/>
          <w:szCs w:val="18"/>
          <w:lang w:val="es-CO" w:eastAsia="es-ES"/>
        </w:rPr>
        <w:t>De las cuales no se han presentado las respectivas declaraciones o estas se presentaron extemporáneamente, o</w:t>
      </w:r>
    </w:p>
    <w:p w14:paraId="1246A135"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r w:rsidRPr="001F1FBB">
        <w:rPr>
          <w:rFonts w:ascii="Symbol" w:eastAsia="Times New Roman" w:hAnsi="Symbol" w:cs="Arial"/>
          <w:color w:val="000000"/>
          <w:sz w:val="18"/>
          <w:szCs w:val="18"/>
          <w:lang w:val="es-CO" w:eastAsia="es-ES"/>
        </w:rPr>
        <w:t>·</w:t>
      </w:r>
      <w:r w:rsidRPr="001F1FBB">
        <w:rPr>
          <w:rFonts w:ascii="Times New Roman" w:eastAsia="Times New Roman" w:hAnsi="Times New Roman" w:cs="Times New Roman"/>
          <w:color w:val="000000"/>
          <w:sz w:val="14"/>
          <w:szCs w:val="14"/>
          <w:lang w:val="es-CO" w:eastAsia="es-ES"/>
        </w:rPr>
        <w:t>           </w:t>
      </w:r>
      <w:r w:rsidRPr="001F1FBB">
        <w:rPr>
          <w:rFonts w:ascii="Segoe UI" w:eastAsia="Times New Roman" w:hAnsi="Segoe UI" w:cs="Segoe UI"/>
          <w:i/>
          <w:iCs/>
          <w:color w:val="000000"/>
          <w:sz w:val="18"/>
          <w:szCs w:val="18"/>
          <w:lang w:val="es-CO" w:eastAsia="es-ES"/>
        </w:rPr>
        <w:t>De las cuales, habiéndose presentado las respectivas declaraciones, no se liquidó ni pagó la sanción correspondiente.</w:t>
      </w:r>
    </w:p>
    <w:p w14:paraId="3AA31A77"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r w:rsidRPr="001F1FBB">
        <w:rPr>
          <w:rFonts w:ascii="Segoe UI" w:eastAsia="Times New Roman" w:hAnsi="Segoe UI" w:cs="Segoe UI"/>
          <w:color w:val="000000"/>
          <w:sz w:val="18"/>
          <w:szCs w:val="18"/>
          <w:lang w:val="es-CO" w:eastAsia="es-ES"/>
        </w:rPr>
        <w:t> </w:t>
      </w:r>
    </w:p>
    <w:p w14:paraId="1E3B0CA7"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r w:rsidRPr="001F1FBB">
        <w:rPr>
          <w:rFonts w:ascii="Segoe UI" w:eastAsia="Times New Roman" w:hAnsi="Segoe UI" w:cs="Segoe UI"/>
          <w:i/>
          <w:iCs/>
          <w:color w:val="000000"/>
          <w:sz w:val="18"/>
          <w:szCs w:val="18"/>
          <w:lang w:val="es-CO" w:eastAsia="es-ES"/>
        </w:rPr>
        <w:t>¿Es aplicable el artículo 45 de la Ley 2155 de 2021?</w:t>
      </w:r>
    </w:p>
    <w:p w14:paraId="5A61347D"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r w:rsidRPr="001F1FBB">
        <w:rPr>
          <w:rFonts w:ascii="Segoe UI" w:eastAsia="Times New Roman" w:hAnsi="Segoe UI" w:cs="Segoe UI"/>
          <w:i/>
          <w:iCs/>
          <w:color w:val="000000"/>
          <w:sz w:val="18"/>
          <w:szCs w:val="18"/>
          <w:lang w:val="es-CO" w:eastAsia="es-ES"/>
        </w:rPr>
        <w:t> </w:t>
      </w:r>
    </w:p>
    <w:p w14:paraId="5E2786BC"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r w:rsidRPr="001F1FBB">
        <w:rPr>
          <w:rFonts w:ascii="Segoe UI" w:eastAsia="Times New Roman" w:hAnsi="Segoe UI" w:cs="Segoe UI"/>
          <w:i/>
          <w:iCs/>
          <w:color w:val="000000"/>
          <w:sz w:val="18"/>
          <w:szCs w:val="18"/>
          <w:lang w:val="es-CO" w:eastAsia="es-ES"/>
        </w:rPr>
        <w:t xml:space="preserve">Como se explicó en el punto #3, dentro de las obligaciones amparadas por el artículo 45 </w:t>
      </w:r>
      <w:proofErr w:type="spellStart"/>
      <w:r w:rsidRPr="001F1FBB">
        <w:rPr>
          <w:rFonts w:ascii="Segoe UI" w:eastAsia="Times New Roman" w:hAnsi="Segoe UI" w:cs="Segoe UI"/>
          <w:i/>
          <w:iCs/>
          <w:color w:val="000000"/>
          <w:sz w:val="18"/>
          <w:szCs w:val="18"/>
          <w:lang w:val="es-CO" w:eastAsia="es-ES"/>
        </w:rPr>
        <w:t>ibídem</w:t>
      </w:r>
      <w:proofErr w:type="spellEnd"/>
      <w:r w:rsidRPr="001F1FBB">
        <w:rPr>
          <w:rFonts w:ascii="Segoe UI" w:eastAsia="Times New Roman" w:hAnsi="Segoe UI" w:cs="Segoe UI"/>
          <w:i/>
          <w:iCs/>
          <w:color w:val="000000"/>
          <w:sz w:val="18"/>
          <w:szCs w:val="18"/>
          <w:lang w:val="es-CO" w:eastAsia="es-ES"/>
        </w:rPr>
        <w:t xml:space="preserve"> se encuentran, entre otras:</w:t>
      </w:r>
    </w:p>
    <w:p w14:paraId="2D68C6A5"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r w:rsidRPr="001F1FBB">
        <w:rPr>
          <w:rFonts w:ascii="Segoe UI" w:eastAsia="Times New Roman" w:hAnsi="Segoe UI" w:cs="Segoe UI"/>
          <w:i/>
          <w:iCs/>
          <w:color w:val="000000"/>
          <w:sz w:val="18"/>
          <w:szCs w:val="18"/>
          <w:lang w:val="es-CO" w:eastAsia="es-ES"/>
        </w:rPr>
        <w:t> </w:t>
      </w:r>
    </w:p>
    <w:p w14:paraId="27997472"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r w:rsidRPr="001F1FBB">
        <w:rPr>
          <w:rFonts w:ascii="Segoe UI" w:eastAsia="Times New Roman" w:hAnsi="Segoe UI" w:cs="Segoe UI"/>
          <w:i/>
          <w:iCs/>
          <w:color w:val="000000"/>
          <w:sz w:val="18"/>
          <w:szCs w:val="18"/>
          <w:lang w:val="es-CO" w:eastAsia="es-ES"/>
        </w:rPr>
        <w:t>i) Las que sean objeto de presentación extemporánea, esto es, aquellas que no se han presentado a la fecha, pero cuyo vencimiento se produjo el 30 de junio de 2021 o antes de esta fecha.</w:t>
      </w:r>
    </w:p>
    <w:p w14:paraId="4514FE59"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proofErr w:type="spellStart"/>
      <w:r w:rsidRPr="001F1FBB">
        <w:rPr>
          <w:rFonts w:ascii="Segoe UI" w:eastAsia="Times New Roman" w:hAnsi="Segoe UI" w:cs="Segoe UI"/>
          <w:i/>
          <w:iCs/>
          <w:color w:val="000000"/>
          <w:sz w:val="18"/>
          <w:szCs w:val="18"/>
          <w:lang w:val="es-CO" w:eastAsia="es-ES"/>
        </w:rPr>
        <w:t>ii</w:t>
      </w:r>
      <w:proofErr w:type="spellEnd"/>
      <w:r w:rsidRPr="001F1FBB">
        <w:rPr>
          <w:rFonts w:ascii="Segoe UI" w:eastAsia="Times New Roman" w:hAnsi="Segoe UI" w:cs="Segoe UI"/>
          <w:i/>
          <w:iCs/>
          <w:color w:val="000000"/>
          <w:sz w:val="18"/>
          <w:szCs w:val="18"/>
          <w:lang w:val="es-CO" w:eastAsia="es-ES"/>
        </w:rPr>
        <w:t>) Las incluidas en actos administrativos, como lo son p.ej. el emplazamiento previo por no declarar (cfr. </w:t>
      </w:r>
      <w:hyperlink r:id="rId5" w:tooltip="Estatuto Tributario CETA" w:history="1">
        <w:r w:rsidRPr="001F1FBB">
          <w:rPr>
            <w:rFonts w:ascii="Segoe UI" w:eastAsia="Times New Roman" w:hAnsi="Segoe UI" w:cs="Segoe UI"/>
            <w:i/>
            <w:iCs/>
            <w:color w:val="0089E1"/>
            <w:sz w:val="18"/>
            <w:szCs w:val="18"/>
            <w:lang w:val="es-CO" w:eastAsia="es-ES"/>
          </w:rPr>
          <w:t>artículo 715</w:t>
        </w:r>
      </w:hyperlink>
      <w:r w:rsidRPr="001F1FBB">
        <w:rPr>
          <w:rFonts w:ascii="Segoe UI" w:eastAsia="Times New Roman" w:hAnsi="Segoe UI" w:cs="Segoe UI"/>
          <w:i/>
          <w:iCs/>
          <w:color w:val="000000"/>
          <w:sz w:val="18"/>
          <w:szCs w:val="18"/>
          <w:lang w:val="es-CO" w:eastAsia="es-ES"/>
        </w:rPr>
        <w:t> del Estatuto Tributario) o la liquidación oficial de aforo (cfr. </w:t>
      </w:r>
      <w:hyperlink r:id="rId6" w:tooltip="Estatuto Tributario CETA" w:history="1">
        <w:r w:rsidRPr="001F1FBB">
          <w:rPr>
            <w:rFonts w:ascii="Segoe UI" w:eastAsia="Times New Roman" w:hAnsi="Segoe UI" w:cs="Segoe UI"/>
            <w:i/>
            <w:iCs/>
            <w:color w:val="0089E1"/>
            <w:sz w:val="18"/>
            <w:szCs w:val="18"/>
            <w:lang w:val="es-CO" w:eastAsia="es-ES"/>
          </w:rPr>
          <w:t>artículo 717</w:t>
        </w:r>
      </w:hyperlink>
      <w:r w:rsidRPr="001F1FBB">
        <w:rPr>
          <w:rFonts w:ascii="Segoe UI" w:eastAsia="Times New Roman" w:hAnsi="Segoe UI" w:cs="Segoe UI"/>
          <w:i/>
          <w:iCs/>
          <w:color w:val="000000"/>
          <w:sz w:val="18"/>
          <w:szCs w:val="18"/>
          <w:lang w:val="es-CO" w:eastAsia="es-ES"/>
        </w:rPr>
        <w:t> </w:t>
      </w:r>
      <w:proofErr w:type="spellStart"/>
      <w:r w:rsidRPr="001F1FBB">
        <w:rPr>
          <w:rFonts w:ascii="Segoe UI" w:eastAsia="Times New Roman" w:hAnsi="Segoe UI" w:cs="Segoe UI"/>
          <w:i/>
          <w:iCs/>
          <w:color w:val="000000"/>
          <w:sz w:val="18"/>
          <w:szCs w:val="18"/>
          <w:lang w:val="es-CO" w:eastAsia="es-ES"/>
        </w:rPr>
        <w:t>ibídem</w:t>
      </w:r>
      <w:proofErr w:type="spellEnd"/>
      <w:r w:rsidRPr="001F1FBB">
        <w:rPr>
          <w:rFonts w:ascii="Segoe UI" w:eastAsia="Times New Roman" w:hAnsi="Segoe UI" w:cs="Segoe UI"/>
          <w:i/>
          <w:iCs/>
          <w:color w:val="000000"/>
          <w:sz w:val="18"/>
          <w:szCs w:val="18"/>
          <w:lang w:val="es-CO" w:eastAsia="es-ES"/>
        </w:rPr>
        <w:t>), respecto de obligaciones que presenten mora en el pago al 30 junio de 2021.</w:t>
      </w:r>
    </w:p>
    <w:p w14:paraId="516E7A5E"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proofErr w:type="spellStart"/>
      <w:r w:rsidRPr="001F1FBB">
        <w:rPr>
          <w:rFonts w:ascii="Segoe UI" w:eastAsia="Times New Roman" w:hAnsi="Segoe UI" w:cs="Segoe UI"/>
          <w:color w:val="000000"/>
          <w:sz w:val="18"/>
          <w:szCs w:val="18"/>
          <w:lang w:val="es-CO" w:eastAsia="es-ES"/>
        </w:rPr>
        <w:t>iii</w:t>
      </w:r>
      <w:proofErr w:type="spellEnd"/>
      <w:r w:rsidRPr="001F1FBB">
        <w:rPr>
          <w:rFonts w:ascii="Segoe UI" w:eastAsia="Times New Roman" w:hAnsi="Segoe UI" w:cs="Segoe UI"/>
          <w:color w:val="000000"/>
          <w:sz w:val="18"/>
          <w:szCs w:val="18"/>
          <w:lang w:val="es-CO" w:eastAsia="es-ES"/>
        </w:rPr>
        <w:t>) </w:t>
      </w:r>
      <w:r w:rsidRPr="001F1FBB">
        <w:rPr>
          <w:rFonts w:ascii="Segoe UI" w:eastAsia="Times New Roman" w:hAnsi="Segoe UI" w:cs="Segoe UI"/>
          <w:b/>
          <w:bCs/>
          <w:i/>
          <w:iCs/>
          <w:color w:val="000000"/>
          <w:sz w:val="18"/>
          <w:szCs w:val="18"/>
          <w:lang w:val="es-CO" w:eastAsia="es-ES"/>
        </w:rPr>
        <w:t>Las sanciones autoliquidadas por el obligado y las determinadas por la DIAN, como lo son p.ej. </w:t>
      </w:r>
      <w:r w:rsidRPr="001F1FBB">
        <w:rPr>
          <w:rFonts w:ascii="Segoe UI" w:eastAsia="Times New Roman" w:hAnsi="Segoe UI" w:cs="Segoe UI"/>
          <w:i/>
          <w:iCs/>
          <w:color w:val="000000"/>
          <w:sz w:val="18"/>
          <w:szCs w:val="18"/>
          <w:lang w:val="es-CO" w:eastAsia="es-ES"/>
        </w:rPr>
        <w:t>la sanción por extemporaneidad en la presentación de la declaración tributaria (cfr. artículos </w:t>
      </w:r>
      <w:hyperlink r:id="rId7" w:tooltip="Estatuto Tributario CETA" w:history="1">
        <w:r w:rsidRPr="001F1FBB">
          <w:rPr>
            <w:rFonts w:ascii="Segoe UI" w:eastAsia="Times New Roman" w:hAnsi="Segoe UI" w:cs="Segoe UI"/>
            <w:i/>
            <w:iCs/>
            <w:color w:val="0089E1"/>
            <w:sz w:val="18"/>
            <w:szCs w:val="18"/>
            <w:lang w:val="es-CO" w:eastAsia="es-ES"/>
          </w:rPr>
          <w:t>641</w:t>
        </w:r>
      </w:hyperlink>
      <w:r w:rsidRPr="001F1FBB">
        <w:rPr>
          <w:rFonts w:ascii="Segoe UI" w:eastAsia="Times New Roman" w:hAnsi="Segoe UI" w:cs="Segoe UI"/>
          <w:i/>
          <w:iCs/>
          <w:color w:val="000000"/>
          <w:sz w:val="18"/>
          <w:szCs w:val="18"/>
          <w:lang w:val="es-CO" w:eastAsia="es-ES"/>
        </w:rPr>
        <w:t> y </w:t>
      </w:r>
      <w:hyperlink r:id="rId8" w:tooltip="Estatuto Tributario CETA" w:history="1">
        <w:r w:rsidRPr="001F1FBB">
          <w:rPr>
            <w:rFonts w:ascii="Segoe UI" w:eastAsia="Times New Roman" w:hAnsi="Segoe UI" w:cs="Segoe UI"/>
            <w:i/>
            <w:iCs/>
            <w:color w:val="0089E1"/>
            <w:sz w:val="18"/>
            <w:szCs w:val="18"/>
            <w:lang w:val="es-CO" w:eastAsia="es-ES"/>
          </w:rPr>
          <w:t>642</w:t>
        </w:r>
      </w:hyperlink>
      <w:r w:rsidRPr="001F1FBB">
        <w:rPr>
          <w:rFonts w:ascii="Segoe UI" w:eastAsia="Times New Roman" w:hAnsi="Segoe UI" w:cs="Segoe UI"/>
          <w:i/>
          <w:iCs/>
          <w:color w:val="000000"/>
          <w:sz w:val="18"/>
          <w:szCs w:val="18"/>
          <w:lang w:val="es-CO" w:eastAsia="es-ES"/>
        </w:rPr>
        <w:t> del Estatuto Tributario), </w:t>
      </w:r>
      <w:r w:rsidRPr="001F1FBB">
        <w:rPr>
          <w:rFonts w:ascii="Segoe UI" w:eastAsia="Times New Roman" w:hAnsi="Segoe UI" w:cs="Segoe UI"/>
          <w:b/>
          <w:bCs/>
          <w:i/>
          <w:iCs/>
          <w:color w:val="000000"/>
          <w:sz w:val="18"/>
          <w:szCs w:val="18"/>
          <w:lang w:val="es-CO" w:eastAsia="es-ES"/>
        </w:rPr>
        <w:t>la sanción por corrección de la declaración tributaria (cfr. </w:t>
      </w:r>
      <w:hyperlink r:id="rId9" w:tooltip="Estatuto Tributario CETA" w:history="1">
        <w:r w:rsidRPr="001F1FBB">
          <w:rPr>
            <w:rFonts w:ascii="Segoe UI" w:eastAsia="Times New Roman" w:hAnsi="Segoe UI" w:cs="Segoe UI"/>
            <w:b/>
            <w:bCs/>
            <w:i/>
            <w:iCs/>
            <w:color w:val="0089E1"/>
            <w:sz w:val="18"/>
            <w:szCs w:val="18"/>
            <w:lang w:val="es-CO" w:eastAsia="es-ES"/>
          </w:rPr>
          <w:t>artículo 644</w:t>
        </w:r>
      </w:hyperlink>
      <w:r w:rsidRPr="001F1FBB">
        <w:rPr>
          <w:rFonts w:ascii="Segoe UI" w:eastAsia="Times New Roman" w:hAnsi="Segoe UI" w:cs="Segoe UI"/>
          <w:b/>
          <w:bCs/>
          <w:i/>
          <w:iCs/>
          <w:color w:val="000000"/>
          <w:sz w:val="18"/>
          <w:szCs w:val="18"/>
          <w:lang w:val="es-CO" w:eastAsia="es-ES"/>
        </w:rPr>
        <w:t> </w:t>
      </w:r>
      <w:proofErr w:type="spellStart"/>
      <w:r w:rsidRPr="001F1FBB">
        <w:rPr>
          <w:rFonts w:ascii="Segoe UI" w:eastAsia="Times New Roman" w:hAnsi="Segoe UI" w:cs="Segoe UI"/>
          <w:b/>
          <w:bCs/>
          <w:i/>
          <w:iCs/>
          <w:color w:val="000000"/>
          <w:sz w:val="18"/>
          <w:szCs w:val="18"/>
          <w:lang w:val="es-CO" w:eastAsia="es-ES"/>
        </w:rPr>
        <w:t>ibídem</w:t>
      </w:r>
      <w:proofErr w:type="spellEnd"/>
      <w:r w:rsidRPr="001F1FBB">
        <w:rPr>
          <w:rFonts w:ascii="Segoe UI" w:eastAsia="Times New Roman" w:hAnsi="Segoe UI" w:cs="Segoe UI"/>
          <w:b/>
          <w:bCs/>
          <w:i/>
          <w:iCs/>
          <w:color w:val="000000"/>
          <w:sz w:val="18"/>
          <w:szCs w:val="18"/>
          <w:lang w:val="es-CO" w:eastAsia="es-ES"/>
        </w:rPr>
        <w:t>)</w:t>
      </w:r>
      <w:r w:rsidRPr="001F1FBB">
        <w:rPr>
          <w:rFonts w:ascii="Segoe UI" w:eastAsia="Times New Roman" w:hAnsi="Segoe UI" w:cs="Segoe UI"/>
          <w:i/>
          <w:iCs/>
          <w:color w:val="000000"/>
          <w:sz w:val="18"/>
          <w:szCs w:val="18"/>
          <w:lang w:val="es-CO" w:eastAsia="es-ES"/>
        </w:rPr>
        <w:t>, la sanción por no declarar (cfr. </w:t>
      </w:r>
      <w:hyperlink r:id="rId10" w:tooltip="Estatuto Tributario CETA" w:history="1">
        <w:r w:rsidRPr="001F1FBB">
          <w:rPr>
            <w:rFonts w:ascii="Segoe UI" w:eastAsia="Times New Roman" w:hAnsi="Segoe UI" w:cs="Segoe UI"/>
            <w:i/>
            <w:iCs/>
            <w:color w:val="0089E1"/>
            <w:sz w:val="18"/>
            <w:szCs w:val="18"/>
            <w:lang w:val="es-CO" w:eastAsia="es-ES"/>
          </w:rPr>
          <w:t>artículo 643</w:t>
        </w:r>
      </w:hyperlink>
      <w:r w:rsidRPr="001F1FBB">
        <w:rPr>
          <w:rFonts w:ascii="Segoe UI" w:eastAsia="Times New Roman" w:hAnsi="Segoe UI" w:cs="Segoe UI"/>
          <w:i/>
          <w:iCs/>
          <w:color w:val="000000"/>
          <w:sz w:val="18"/>
          <w:szCs w:val="18"/>
          <w:lang w:val="es-CO" w:eastAsia="es-ES"/>
        </w:rPr>
        <w:t> </w:t>
      </w:r>
      <w:proofErr w:type="spellStart"/>
      <w:r w:rsidRPr="001F1FBB">
        <w:rPr>
          <w:rFonts w:ascii="Segoe UI" w:eastAsia="Times New Roman" w:hAnsi="Segoe UI" w:cs="Segoe UI"/>
          <w:i/>
          <w:iCs/>
          <w:color w:val="000000"/>
          <w:sz w:val="18"/>
          <w:szCs w:val="18"/>
          <w:lang w:val="es-CO" w:eastAsia="es-ES"/>
        </w:rPr>
        <w:t>ibídem</w:t>
      </w:r>
      <w:proofErr w:type="spellEnd"/>
      <w:r w:rsidRPr="001F1FBB">
        <w:rPr>
          <w:rFonts w:ascii="Segoe UI" w:eastAsia="Times New Roman" w:hAnsi="Segoe UI" w:cs="Segoe UI"/>
          <w:i/>
          <w:iCs/>
          <w:color w:val="000000"/>
          <w:sz w:val="18"/>
          <w:szCs w:val="18"/>
          <w:lang w:val="es-CO" w:eastAsia="es-ES"/>
        </w:rPr>
        <w:t>) y las que se proponen en requerimientos especiales o imponen en liquidaciones oficiales”. </w:t>
      </w:r>
      <w:r w:rsidRPr="001F1FBB">
        <w:rPr>
          <w:rFonts w:ascii="Segoe UI" w:eastAsia="Times New Roman" w:hAnsi="Segoe UI" w:cs="Segoe UI"/>
          <w:color w:val="000000"/>
          <w:sz w:val="18"/>
          <w:szCs w:val="18"/>
          <w:lang w:val="es-CO" w:eastAsia="es-ES"/>
        </w:rPr>
        <w:t>(Subrayado y negrilla fuera de texto).</w:t>
      </w:r>
    </w:p>
    <w:p w14:paraId="1659406B" w14:textId="77777777" w:rsidR="001F1FBB" w:rsidRPr="001F1FBB" w:rsidRDefault="001F1FBB" w:rsidP="001F1FBB">
      <w:pPr>
        <w:spacing w:after="0" w:line="240" w:lineRule="auto"/>
        <w:jc w:val="both"/>
        <w:rPr>
          <w:rFonts w:ascii="Arial" w:eastAsia="Times New Roman" w:hAnsi="Arial" w:cs="Arial"/>
          <w:color w:val="000000"/>
          <w:sz w:val="18"/>
          <w:szCs w:val="18"/>
          <w:lang w:eastAsia="es-ES"/>
        </w:rPr>
      </w:pPr>
      <w:r w:rsidRPr="001F1FBB">
        <w:rPr>
          <w:rFonts w:ascii="Segoe UI" w:eastAsia="Times New Roman" w:hAnsi="Segoe UI" w:cs="Segoe UI"/>
          <w:color w:val="000000"/>
          <w:sz w:val="18"/>
          <w:szCs w:val="18"/>
          <w:lang w:val="es-CO" w:eastAsia="es-ES"/>
        </w:rPr>
        <w:t> </w:t>
      </w:r>
    </w:p>
    <w:p w14:paraId="7908FB4B" w14:textId="77777777" w:rsidR="001F1FBB" w:rsidRPr="001F1FBB" w:rsidRDefault="001F1FBB" w:rsidP="001F1FBB">
      <w:pPr>
        <w:spacing w:after="0" w:line="240" w:lineRule="auto"/>
        <w:jc w:val="both"/>
        <w:rPr>
          <w:rFonts w:ascii="Arial" w:eastAsia="Times New Roman" w:hAnsi="Arial" w:cs="Arial"/>
          <w:color w:val="000000"/>
          <w:sz w:val="18"/>
          <w:szCs w:val="18"/>
          <w:lang w:eastAsia="es-ES"/>
        </w:rPr>
      </w:pPr>
      <w:r w:rsidRPr="001F1FBB">
        <w:rPr>
          <w:rFonts w:ascii="Segoe UI" w:eastAsia="Times New Roman" w:hAnsi="Segoe UI" w:cs="Segoe UI"/>
          <w:color w:val="000000"/>
          <w:sz w:val="18"/>
          <w:szCs w:val="18"/>
          <w:lang w:val="es-CO" w:eastAsia="es-ES"/>
        </w:rPr>
        <w:t>Ahora bien, frente al término para corregir las declaraciones, es relevante recordar que el </w:t>
      </w:r>
      <w:hyperlink r:id="rId11" w:tooltip="Estatuto Tributario CETA" w:history="1">
        <w:r w:rsidRPr="001F1FBB">
          <w:rPr>
            <w:rFonts w:ascii="Segoe UI" w:eastAsia="Times New Roman" w:hAnsi="Segoe UI" w:cs="Segoe UI"/>
            <w:color w:val="0089E1"/>
            <w:sz w:val="18"/>
            <w:szCs w:val="18"/>
            <w:lang w:val="es-CO" w:eastAsia="es-ES"/>
          </w:rPr>
          <w:t>artículo 588</w:t>
        </w:r>
      </w:hyperlink>
      <w:r w:rsidRPr="001F1FBB">
        <w:rPr>
          <w:rFonts w:ascii="Segoe UI" w:eastAsia="Times New Roman" w:hAnsi="Segoe UI" w:cs="Segoe UI"/>
          <w:color w:val="000000"/>
          <w:sz w:val="18"/>
          <w:szCs w:val="18"/>
          <w:lang w:val="es-CO" w:eastAsia="es-ES"/>
        </w:rPr>
        <w:t xml:space="preserve"> del Estatuto Tributario fue modificado por la Ley 2010 de 2019. Con esta modificación el término para corregir las declaraciones, aumentando el impuesto o disminuyendo el saldo a favor, se incrementó de dos a tres años; sin embargo, para las declaraciones del impuesto sobre la renta del 2018 presentadas en 2019 aplica el término de corrección de dos años (antes de la modificación de la Ley 2010 del 27 de diciembre de 2019). Al respecto, en el Oficio </w:t>
      </w:r>
      <w:proofErr w:type="spellStart"/>
      <w:r w:rsidRPr="001F1FBB">
        <w:rPr>
          <w:rFonts w:ascii="Segoe UI" w:eastAsia="Times New Roman" w:hAnsi="Segoe UI" w:cs="Segoe UI"/>
          <w:color w:val="000000"/>
          <w:sz w:val="18"/>
          <w:szCs w:val="18"/>
          <w:lang w:val="es-CO" w:eastAsia="es-ES"/>
        </w:rPr>
        <w:t>N°</w:t>
      </w:r>
      <w:proofErr w:type="spellEnd"/>
      <w:r w:rsidRPr="001F1FBB">
        <w:rPr>
          <w:rFonts w:ascii="Segoe UI" w:eastAsia="Times New Roman" w:hAnsi="Segoe UI" w:cs="Segoe UI"/>
          <w:color w:val="000000"/>
          <w:sz w:val="18"/>
          <w:szCs w:val="18"/>
          <w:lang w:val="es-CO" w:eastAsia="es-ES"/>
        </w:rPr>
        <w:t xml:space="preserve"> 900928 - interno 372 del 31 de marzo de 2020 esta Subdirección señaló que:</w:t>
      </w:r>
    </w:p>
    <w:p w14:paraId="689D75D0" w14:textId="77777777" w:rsidR="001F1FBB" w:rsidRPr="001F1FBB" w:rsidRDefault="001F1FBB" w:rsidP="001F1FBB">
      <w:pPr>
        <w:spacing w:after="0" w:line="240" w:lineRule="auto"/>
        <w:jc w:val="both"/>
        <w:rPr>
          <w:rFonts w:ascii="Arial" w:eastAsia="Times New Roman" w:hAnsi="Arial" w:cs="Arial"/>
          <w:color w:val="000000"/>
          <w:sz w:val="18"/>
          <w:szCs w:val="18"/>
          <w:lang w:eastAsia="es-ES"/>
        </w:rPr>
      </w:pPr>
      <w:r w:rsidRPr="001F1FBB">
        <w:rPr>
          <w:rFonts w:ascii="Segoe UI" w:eastAsia="Times New Roman" w:hAnsi="Segoe UI" w:cs="Segoe UI"/>
          <w:i/>
          <w:iCs/>
          <w:color w:val="000000"/>
          <w:sz w:val="18"/>
          <w:szCs w:val="18"/>
          <w:lang w:val="es-CO" w:eastAsia="es-ES"/>
        </w:rPr>
        <w:t> </w:t>
      </w:r>
    </w:p>
    <w:p w14:paraId="7BBD9948" w14:textId="77777777" w:rsidR="001F1FBB" w:rsidRPr="001F1FBB" w:rsidRDefault="001F1FBB" w:rsidP="001F1FBB">
      <w:pPr>
        <w:spacing w:after="0" w:line="240" w:lineRule="auto"/>
        <w:ind w:left="284"/>
        <w:jc w:val="both"/>
        <w:rPr>
          <w:rFonts w:ascii="Arial" w:eastAsia="Times New Roman" w:hAnsi="Arial" w:cs="Arial"/>
          <w:color w:val="000000"/>
          <w:sz w:val="18"/>
          <w:szCs w:val="18"/>
          <w:lang w:eastAsia="es-ES"/>
        </w:rPr>
      </w:pPr>
      <w:r w:rsidRPr="001F1FBB">
        <w:rPr>
          <w:rFonts w:ascii="Segoe UI" w:eastAsia="Times New Roman" w:hAnsi="Segoe UI" w:cs="Segoe UI"/>
          <w:i/>
          <w:iCs/>
          <w:color w:val="000000"/>
          <w:sz w:val="18"/>
          <w:szCs w:val="18"/>
          <w:lang w:val="es-CO" w:eastAsia="es-ES"/>
        </w:rPr>
        <w:t>"(...) el término previsto en el inciso primero del </w:t>
      </w:r>
      <w:hyperlink r:id="rId12" w:tooltip="Estatuto Tributario CETA" w:history="1">
        <w:r w:rsidRPr="001F1FBB">
          <w:rPr>
            <w:rFonts w:ascii="Segoe UI" w:eastAsia="Times New Roman" w:hAnsi="Segoe UI" w:cs="Segoe UI"/>
            <w:i/>
            <w:iCs/>
            <w:color w:val="0089E1"/>
            <w:sz w:val="18"/>
            <w:szCs w:val="18"/>
            <w:lang w:val="es-CO" w:eastAsia="es-ES"/>
          </w:rPr>
          <w:t>artículo 588</w:t>
        </w:r>
      </w:hyperlink>
      <w:r w:rsidRPr="001F1FBB">
        <w:rPr>
          <w:rFonts w:ascii="Segoe UI" w:eastAsia="Times New Roman" w:hAnsi="Segoe UI" w:cs="Segoe UI"/>
          <w:i/>
          <w:iCs/>
          <w:color w:val="000000"/>
          <w:sz w:val="18"/>
          <w:szCs w:val="18"/>
          <w:lang w:val="es-CO" w:eastAsia="es-ES"/>
        </w:rPr>
        <w:t> del Estatuto Tributario, modificado por la Ley 2010 de 2019, aplicará para aquellas declaraciones cuya fecha de vencimiento del plazo para la presentación de la declaración inicial se genere en vigencia la Ley 2010 de 2019"</w:t>
      </w:r>
      <w:r w:rsidRPr="001F1FBB">
        <w:rPr>
          <w:rFonts w:ascii="Segoe UI" w:eastAsia="Times New Roman" w:hAnsi="Segoe UI" w:cs="Segoe UI"/>
          <w:color w:val="000000"/>
          <w:sz w:val="18"/>
          <w:szCs w:val="18"/>
          <w:lang w:val="es-CO" w:eastAsia="es-ES"/>
        </w:rPr>
        <w:t>.</w:t>
      </w:r>
    </w:p>
    <w:p w14:paraId="33AE4E80" w14:textId="77777777" w:rsidR="001F1FBB" w:rsidRPr="001F1FBB" w:rsidRDefault="001F1FBB" w:rsidP="001F1FBB">
      <w:pPr>
        <w:spacing w:after="0" w:line="240" w:lineRule="auto"/>
        <w:jc w:val="both"/>
        <w:rPr>
          <w:rFonts w:ascii="Arial" w:eastAsia="Times New Roman" w:hAnsi="Arial" w:cs="Arial"/>
          <w:color w:val="000000"/>
          <w:sz w:val="18"/>
          <w:szCs w:val="18"/>
          <w:lang w:eastAsia="es-ES"/>
        </w:rPr>
      </w:pPr>
      <w:r w:rsidRPr="001F1FBB">
        <w:rPr>
          <w:rFonts w:ascii="Segoe UI" w:eastAsia="Times New Roman" w:hAnsi="Segoe UI" w:cs="Segoe UI"/>
          <w:color w:val="000000"/>
          <w:sz w:val="18"/>
          <w:szCs w:val="18"/>
          <w:lang w:val="es-CO" w:eastAsia="es-ES"/>
        </w:rPr>
        <w:t> </w:t>
      </w:r>
    </w:p>
    <w:p w14:paraId="41065B58" w14:textId="77777777" w:rsidR="001F1FBB" w:rsidRPr="001F1FBB" w:rsidRDefault="001F1FBB" w:rsidP="001F1FBB">
      <w:pPr>
        <w:spacing w:after="0" w:line="240" w:lineRule="auto"/>
        <w:jc w:val="both"/>
        <w:rPr>
          <w:rFonts w:ascii="Arial" w:eastAsia="Times New Roman" w:hAnsi="Arial" w:cs="Arial"/>
          <w:color w:val="000000"/>
          <w:sz w:val="18"/>
          <w:szCs w:val="18"/>
          <w:lang w:eastAsia="es-ES"/>
        </w:rPr>
      </w:pPr>
      <w:r w:rsidRPr="001F1FBB">
        <w:rPr>
          <w:rFonts w:ascii="Segoe UI" w:eastAsia="Times New Roman" w:hAnsi="Segoe UI" w:cs="Segoe UI"/>
          <w:color w:val="000000"/>
          <w:sz w:val="18"/>
          <w:szCs w:val="18"/>
          <w:lang w:val="es-CO" w:eastAsia="es-ES"/>
        </w:rPr>
        <w:t>Teniendo en cuenta lo anterior, frente a una corrección específica cada contribuyente deberá analizar si en su caso particular aplican las reducciones en sanciones e intereses siempre que se cumplan todas y cada una de las condiciones y requisitos del citado artículo 45, y sin perjuicio de la debida aplicación del término legal -aplicable en cada caso- para corregir las declaraciones, </w:t>
      </w:r>
      <w:r w:rsidRPr="001F1FBB">
        <w:rPr>
          <w:rFonts w:ascii="Segoe UI" w:eastAsia="Times New Roman" w:hAnsi="Segoe UI" w:cs="Segoe UI"/>
          <w:b/>
          <w:bCs/>
          <w:color w:val="000000"/>
          <w:sz w:val="18"/>
          <w:szCs w:val="18"/>
          <w:u w:val="single"/>
          <w:lang w:val="es-CO" w:eastAsia="es-ES"/>
        </w:rPr>
        <w:t>el cual no fue modificado por la Ley 2155 de 2021</w:t>
      </w:r>
      <w:r w:rsidRPr="001F1FBB">
        <w:rPr>
          <w:rFonts w:ascii="Segoe UI" w:eastAsia="Times New Roman" w:hAnsi="Segoe UI" w:cs="Segoe UI"/>
          <w:color w:val="000000"/>
          <w:sz w:val="18"/>
          <w:szCs w:val="18"/>
          <w:lang w:val="es-CO" w:eastAsia="es-ES"/>
        </w:rPr>
        <w:t>.</w:t>
      </w:r>
    </w:p>
    <w:p w14:paraId="2BEB0674" w14:textId="77777777" w:rsidR="001F1FBB" w:rsidRPr="001F1FBB" w:rsidRDefault="001F1FBB" w:rsidP="001F1FBB">
      <w:pPr>
        <w:spacing w:after="0" w:line="240" w:lineRule="auto"/>
        <w:jc w:val="both"/>
        <w:rPr>
          <w:rFonts w:ascii="Arial" w:eastAsia="Times New Roman" w:hAnsi="Arial" w:cs="Arial"/>
          <w:color w:val="000000"/>
          <w:sz w:val="18"/>
          <w:szCs w:val="18"/>
          <w:lang w:eastAsia="es-ES"/>
        </w:rPr>
      </w:pPr>
      <w:r w:rsidRPr="001F1FBB">
        <w:rPr>
          <w:rFonts w:ascii="Segoe UI" w:eastAsia="Times New Roman" w:hAnsi="Segoe UI" w:cs="Segoe UI"/>
          <w:color w:val="000000"/>
          <w:sz w:val="18"/>
          <w:szCs w:val="18"/>
          <w:lang w:val="es-CO" w:eastAsia="es-ES"/>
        </w:rPr>
        <w:t> </w:t>
      </w:r>
    </w:p>
    <w:p w14:paraId="72634E8E" w14:textId="77777777" w:rsidR="001F1FBB" w:rsidRPr="001F1FBB" w:rsidRDefault="001F1FBB" w:rsidP="001F1FBB">
      <w:pPr>
        <w:spacing w:after="0" w:line="240" w:lineRule="auto"/>
        <w:jc w:val="both"/>
        <w:rPr>
          <w:rFonts w:ascii="Arial" w:eastAsia="Times New Roman" w:hAnsi="Arial" w:cs="Arial"/>
          <w:color w:val="000000"/>
          <w:sz w:val="18"/>
          <w:szCs w:val="18"/>
          <w:lang w:eastAsia="es-ES"/>
        </w:rPr>
      </w:pPr>
      <w:r w:rsidRPr="001F1FBB">
        <w:rPr>
          <w:rFonts w:ascii="Segoe UI" w:eastAsia="Times New Roman" w:hAnsi="Segoe UI" w:cs="Segoe UI"/>
          <w:color w:val="000000"/>
          <w:sz w:val="18"/>
          <w:szCs w:val="18"/>
          <w:lang w:val="es-CO" w:eastAsia="es-ES"/>
        </w:rPr>
        <w:t>Nótese que es responsabilidad de cada contribuyente, frente a su caso particular, determinar si cumple con todas y cada una de las condiciones y requisitos para acceder al mencionado beneficio, pues como ya se ha explicado, no se requiere presentar una solicitud a esta Entidad para aplicar el citado artículo 45, sin perjuicio de las amplias facultades de revisión y comprobación posterior que le asisten a la Administración.</w:t>
      </w:r>
    </w:p>
    <w:p w14:paraId="66C98330" w14:textId="77777777" w:rsidR="001F1FBB" w:rsidRPr="001F1FBB" w:rsidRDefault="001F1FBB" w:rsidP="001F1FBB">
      <w:pPr>
        <w:spacing w:after="0" w:line="240" w:lineRule="auto"/>
        <w:jc w:val="both"/>
        <w:rPr>
          <w:rFonts w:ascii="Arial" w:eastAsia="Times New Roman" w:hAnsi="Arial" w:cs="Arial"/>
          <w:color w:val="000000"/>
          <w:sz w:val="18"/>
          <w:szCs w:val="18"/>
          <w:lang w:eastAsia="es-ES"/>
        </w:rPr>
      </w:pPr>
      <w:r w:rsidRPr="001F1FBB">
        <w:rPr>
          <w:rFonts w:ascii="Segoe UI" w:eastAsia="Times New Roman" w:hAnsi="Segoe UI" w:cs="Segoe UI"/>
          <w:color w:val="000000"/>
          <w:sz w:val="18"/>
          <w:szCs w:val="18"/>
          <w:lang w:val="es-CO" w:eastAsia="es-ES"/>
        </w:rPr>
        <w:t> </w:t>
      </w:r>
    </w:p>
    <w:p w14:paraId="5BBAADF7" w14:textId="77777777" w:rsidR="001F1FBB" w:rsidRPr="001F1FBB" w:rsidRDefault="001F1FBB" w:rsidP="001F1FBB">
      <w:pPr>
        <w:spacing w:after="0" w:line="240" w:lineRule="auto"/>
        <w:jc w:val="both"/>
        <w:rPr>
          <w:rFonts w:ascii="Arial" w:eastAsia="Times New Roman" w:hAnsi="Arial" w:cs="Arial"/>
          <w:color w:val="000000"/>
          <w:sz w:val="18"/>
          <w:szCs w:val="18"/>
          <w:lang w:eastAsia="es-ES"/>
        </w:rPr>
      </w:pPr>
      <w:r w:rsidRPr="001F1FBB">
        <w:rPr>
          <w:rFonts w:ascii="Segoe UI" w:eastAsia="Times New Roman" w:hAnsi="Segoe UI" w:cs="Segoe UI"/>
          <w:color w:val="000000"/>
          <w:sz w:val="18"/>
          <w:szCs w:val="18"/>
          <w:lang w:val="es-CO" w:eastAsia="es-ES"/>
        </w:rPr>
        <w:t>En los anteriores términos se resuelve su solicitud y finalmente le manifestamos que la Dirección de Impuestos y Aduanas Nacionales -DIAN-, con el fin de facilitar a los contribuyentes, usuarios y público en general el acceso directo a sus pronunciamientos doctrinarios, ha publicado en su página de internet </w:t>
      </w:r>
      <w:hyperlink r:id="rId13" w:history="1">
        <w:r w:rsidRPr="001F1FBB">
          <w:rPr>
            <w:rFonts w:ascii="Segoe UI" w:eastAsia="Times New Roman" w:hAnsi="Segoe UI" w:cs="Segoe UI"/>
            <w:color w:val="0563C1"/>
            <w:sz w:val="18"/>
            <w:szCs w:val="18"/>
            <w:lang w:val="es-CO" w:eastAsia="es-ES"/>
          </w:rPr>
          <w:t>www.dian.gov.co</w:t>
        </w:r>
      </w:hyperlink>
      <w:r w:rsidRPr="001F1FBB">
        <w:rPr>
          <w:rFonts w:ascii="Segoe UI" w:eastAsia="Times New Roman" w:hAnsi="Segoe UI" w:cs="Segoe UI"/>
          <w:color w:val="000000"/>
          <w:sz w:val="18"/>
          <w:szCs w:val="18"/>
          <w:lang w:val="es-CO" w:eastAsia="es-ES"/>
        </w:rPr>
        <w:t xml:space="preserve">, la base de conceptos en materia tributaria, aduanera y cambiaria expedidos desde el año 2001, la cual se puede ingresar por el ícono de “Normatividad”–“Doctrina”, dando </w:t>
      </w:r>
      <w:proofErr w:type="spellStart"/>
      <w:r w:rsidRPr="001F1FBB">
        <w:rPr>
          <w:rFonts w:ascii="Segoe UI" w:eastAsia="Times New Roman" w:hAnsi="Segoe UI" w:cs="Segoe UI"/>
          <w:color w:val="000000"/>
          <w:sz w:val="18"/>
          <w:szCs w:val="18"/>
          <w:lang w:val="es-CO" w:eastAsia="es-ES"/>
        </w:rPr>
        <w:t>click</w:t>
      </w:r>
      <w:proofErr w:type="spellEnd"/>
      <w:r w:rsidRPr="001F1FBB">
        <w:rPr>
          <w:rFonts w:ascii="Segoe UI" w:eastAsia="Times New Roman" w:hAnsi="Segoe UI" w:cs="Segoe UI"/>
          <w:color w:val="000000"/>
          <w:sz w:val="18"/>
          <w:szCs w:val="18"/>
          <w:lang w:val="es-CO" w:eastAsia="es-ES"/>
        </w:rPr>
        <w:t xml:space="preserve"> en el link “Doctrina Dirección de Gestión Jurídica”.</w:t>
      </w:r>
    </w:p>
    <w:p w14:paraId="23B0BB4B" w14:textId="77777777" w:rsidR="001F1FBB" w:rsidRPr="001F1FBB" w:rsidRDefault="001F1FBB" w:rsidP="001F1FBB">
      <w:pPr>
        <w:spacing w:after="0" w:line="240" w:lineRule="auto"/>
        <w:jc w:val="both"/>
        <w:rPr>
          <w:rFonts w:ascii="Arial" w:eastAsia="Times New Roman" w:hAnsi="Arial" w:cs="Arial"/>
          <w:color w:val="000000"/>
          <w:sz w:val="18"/>
          <w:szCs w:val="18"/>
          <w:lang w:eastAsia="es-ES"/>
        </w:rPr>
      </w:pPr>
      <w:r w:rsidRPr="001F1FBB">
        <w:rPr>
          <w:rFonts w:ascii="Segoe UI" w:eastAsia="Times New Roman" w:hAnsi="Segoe UI" w:cs="Segoe UI"/>
          <w:color w:val="000000"/>
          <w:sz w:val="18"/>
          <w:szCs w:val="18"/>
          <w:lang w:val="es-CO" w:eastAsia="es-ES"/>
        </w:rPr>
        <w:t> </w:t>
      </w:r>
    </w:p>
    <w:p w14:paraId="4E0DE890" w14:textId="77777777" w:rsidR="001F1FBB" w:rsidRPr="001F1FBB" w:rsidRDefault="001F1FBB" w:rsidP="001F1FBB">
      <w:pPr>
        <w:spacing w:after="0" w:line="240" w:lineRule="auto"/>
        <w:jc w:val="both"/>
        <w:rPr>
          <w:rFonts w:ascii="Arial" w:eastAsia="Times New Roman" w:hAnsi="Arial" w:cs="Arial"/>
          <w:color w:val="000000"/>
          <w:sz w:val="18"/>
          <w:szCs w:val="18"/>
          <w:lang w:eastAsia="es-ES"/>
        </w:rPr>
      </w:pPr>
      <w:r w:rsidRPr="001F1FBB">
        <w:rPr>
          <w:rFonts w:ascii="Segoe UI" w:eastAsia="Times New Roman" w:hAnsi="Segoe UI" w:cs="Segoe UI"/>
          <w:color w:val="000000"/>
          <w:sz w:val="18"/>
          <w:szCs w:val="18"/>
          <w:lang w:val="es-CO" w:eastAsia="es-ES"/>
        </w:rPr>
        <w:t>Atentamente,</w:t>
      </w:r>
    </w:p>
    <w:p w14:paraId="069FBE9F" w14:textId="77777777" w:rsidR="001F1FBB" w:rsidRPr="001F1FBB" w:rsidRDefault="001F1FBB" w:rsidP="001F1FBB">
      <w:pPr>
        <w:spacing w:after="0" w:line="240" w:lineRule="auto"/>
        <w:jc w:val="both"/>
        <w:rPr>
          <w:rFonts w:ascii="Arial" w:eastAsia="Times New Roman" w:hAnsi="Arial" w:cs="Arial"/>
          <w:color w:val="000000"/>
          <w:sz w:val="18"/>
          <w:szCs w:val="18"/>
          <w:lang w:eastAsia="es-ES"/>
        </w:rPr>
      </w:pPr>
      <w:r w:rsidRPr="001F1FBB">
        <w:rPr>
          <w:rFonts w:ascii="Segoe UI" w:eastAsia="Times New Roman" w:hAnsi="Segoe UI" w:cs="Segoe UI"/>
          <w:b/>
          <w:bCs/>
          <w:color w:val="000000"/>
          <w:sz w:val="18"/>
          <w:szCs w:val="18"/>
          <w:lang w:val="es-CO" w:eastAsia="es-ES"/>
        </w:rPr>
        <w:t> </w:t>
      </w:r>
    </w:p>
    <w:p w14:paraId="3960993A" w14:textId="77777777" w:rsidR="001F1FBB" w:rsidRPr="001F1FBB" w:rsidRDefault="001F1FBB" w:rsidP="001F1FBB">
      <w:pPr>
        <w:spacing w:after="0" w:line="240" w:lineRule="auto"/>
        <w:jc w:val="both"/>
        <w:rPr>
          <w:rFonts w:ascii="Arial" w:eastAsia="Times New Roman" w:hAnsi="Arial" w:cs="Arial"/>
          <w:color w:val="000000"/>
          <w:sz w:val="18"/>
          <w:szCs w:val="18"/>
          <w:lang w:eastAsia="es-ES"/>
        </w:rPr>
      </w:pPr>
      <w:r w:rsidRPr="001F1FBB">
        <w:rPr>
          <w:rFonts w:ascii="Segoe UI" w:eastAsia="Times New Roman" w:hAnsi="Segoe UI" w:cs="Segoe UI"/>
          <w:b/>
          <w:bCs/>
          <w:color w:val="000000"/>
          <w:sz w:val="18"/>
          <w:szCs w:val="18"/>
          <w:lang w:val="es-CO" w:eastAsia="es-ES"/>
        </w:rPr>
        <w:t> </w:t>
      </w:r>
    </w:p>
    <w:p w14:paraId="49E31A24" w14:textId="77777777" w:rsidR="001F1FBB" w:rsidRPr="001F1FBB" w:rsidRDefault="001F1FBB" w:rsidP="001F1FBB">
      <w:pPr>
        <w:spacing w:after="0" w:line="240" w:lineRule="auto"/>
        <w:jc w:val="both"/>
        <w:rPr>
          <w:rFonts w:ascii="Arial" w:eastAsia="Times New Roman" w:hAnsi="Arial" w:cs="Arial"/>
          <w:color w:val="000000"/>
          <w:sz w:val="18"/>
          <w:szCs w:val="18"/>
          <w:lang w:eastAsia="es-ES"/>
        </w:rPr>
      </w:pPr>
      <w:r w:rsidRPr="001F1FBB">
        <w:rPr>
          <w:rFonts w:ascii="Segoe UI" w:eastAsia="Times New Roman" w:hAnsi="Segoe UI" w:cs="Segoe UI"/>
          <w:b/>
          <w:bCs/>
          <w:color w:val="000000"/>
          <w:sz w:val="18"/>
          <w:szCs w:val="18"/>
          <w:lang w:val="es-CO" w:eastAsia="es-ES"/>
        </w:rPr>
        <w:t>NICOLÁS BERNAL ABELLA</w:t>
      </w:r>
    </w:p>
    <w:p w14:paraId="286EA947" w14:textId="77777777" w:rsidR="001F1FBB" w:rsidRPr="001F1FBB" w:rsidRDefault="001F1FBB" w:rsidP="001F1FBB">
      <w:pPr>
        <w:spacing w:after="0" w:line="240" w:lineRule="auto"/>
        <w:jc w:val="both"/>
        <w:rPr>
          <w:rFonts w:ascii="Arial" w:eastAsia="Times New Roman" w:hAnsi="Arial" w:cs="Arial"/>
          <w:color w:val="000000"/>
          <w:sz w:val="18"/>
          <w:szCs w:val="18"/>
          <w:lang w:eastAsia="es-ES"/>
        </w:rPr>
      </w:pPr>
      <w:r w:rsidRPr="001F1FBB">
        <w:rPr>
          <w:rFonts w:ascii="Segoe UI" w:eastAsia="Times New Roman" w:hAnsi="Segoe UI" w:cs="Segoe UI"/>
          <w:color w:val="000000"/>
          <w:sz w:val="18"/>
          <w:szCs w:val="18"/>
          <w:lang w:val="es-CO" w:eastAsia="es-ES"/>
        </w:rPr>
        <w:lastRenderedPageBreak/>
        <w:t>Subdirector de Normativa y Doctrina (E)</w:t>
      </w:r>
    </w:p>
    <w:p w14:paraId="3860C63C" w14:textId="77777777" w:rsidR="001F1FBB" w:rsidRPr="001F1FBB" w:rsidRDefault="001F1FBB" w:rsidP="001F1FBB">
      <w:pPr>
        <w:spacing w:after="0" w:line="240" w:lineRule="auto"/>
        <w:jc w:val="both"/>
        <w:rPr>
          <w:rFonts w:ascii="Arial" w:eastAsia="Times New Roman" w:hAnsi="Arial" w:cs="Arial"/>
          <w:color w:val="000000"/>
          <w:sz w:val="18"/>
          <w:szCs w:val="18"/>
          <w:lang w:eastAsia="es-ES"/>
        </w:rPr>
      </w:pPr>
      <w:r w:rsidRPr="001F1FBB">
        <w:rPr>
          <w:rFonts w:ascii="Segoe UI" w:eastAsia="Times New Roman" w:hAnsi="Segoe UI" w:cs="Segoe UI"/>
          <w:color w:val="000000"/>
          <w:sz w:val="18"/>
          <w:szCs w:val="18"/>
          <w:lang w:val="es-CO" w:eastAsia="es-ES"/>
        </w:rPr>
        <w:t>Dirección de Gestión Jurídica</w:t>
      </w:r>
    </w:p>
    <w:p w14:paraId="73A1C389" w14:textId="77777777" w:rsidR="001F1FBB" w:rsidRPr="001F1FBB" w:rsidRDefault="001F1FBB" w:rsidP="001F1FBB">
      <w:pPr>
        <w:spacing w:after="0" w:line="240" w:lineRule="auto"/>
        <w:jc w:val="both"/>
        <w:rPr>
          <w:rFonts w:ascii="Arial" w:eastAsia="Times New Roman" w:hAnsi="Arial" w:cs="Arial"/>
          <w:color w:val="000000"/>
          <w:sz w:val="18"/>
          <w:szCs w:val="18"/>
          <w:lang w:eastAsia="es-ES"/>
        </w:rPr>
      </w:pPr>
      <w:r w:rsidRPr="001F1FBB">
        <w:rPr>
          <w:rFonts w:ascii="Segoe UI" w:eastAsia="Times New Roman" w:hAnsi="Segoe UI" w:cs="Segoe UI"/>
          <w:color w:val="000000"/>
          <w:sz w:val="18"/>
          <w:szCs w:val="18"/>
          <w:lang w:val="es-CO" w:eastAsia="es-ES"/>
        </w:rPr>
        <w:t>UAE-Dirección de Impuestos y Aduanas Nacionales</w:t>
      </w:r>
    </w:p>
    <w:sectPr w:rsidR="001F1FBB" w:rsidRPr="001F1FB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152"/>
    <w:rsid w:val="001F1FBB"/>
    <w:rsid w:val="00201EA3"/>
    <w:rsid w:val="00325152"/>
    <w:rsid w:val="008B0601"/>
    <w:rsid w:val="00CF29F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C5E9E"/>
  <w15:chartTrackingRefBased/>
  <w15:docId w15:val="{112A087C-C522-4435-9D78-BE975270A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6875575">
      <w:bodyDiv w:val="1"/>
      <w:marLeft w:val="0"/>
      <w:marRight w:val="0"/>
      <w:marTop w:val="0"/>
      <w:marBottom w:val="0"/>
      <w:divBdr>
        <w:top w:val="none" w:sz="0" w:space="0" w:color="auto"/>
        <w:left w:val="none" w:sz="0" w:space="0" w:color="auto"/>
        <w:bottom w:val="none" w:sz="0" w:space="0" w:color="auto"/>
        <w:right w:val="none" w:sz="0" w:space="0" w:color="auto"/>
      </w:divBdr>
    </w:div>
    <w:div w:id="1499618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ta.org.co/html/vista_de_un_articulo.asp?Norma=799" TargetMode="External"/><Relationship Id="rId13" Type="http://schemas.openxmlformats.org/officeDocument/2006/relationships/hyperlink" Target="http://www.dian.gov.co/" TargetMode="External"/><Relationship Id="rId3" Type="http://schemas.openxmlformats.org/officeDocument/2006/relationships/webSettings" Target="webSettings.xml"/><Relationship Id="rId7" Type="http://schemas.openxmlformats.org/officeDocument/2006/relationships/hyperlink" Target="https://www.ceta.org.co/html/vista_de_un_articulo.asp?Norma=798" TargetMode="External"/><Relationship Id="rId12" Type="http://schemas.openxmlformats.org/officeDocument/2006/relationships/hyperlink" Target="https://www.ceta.org.co/html/vista_de_un_articulo.asp?Norma=72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eta.org.co/html/vista_de_un_articulo.asp?Norma=893" TargetMode="External"/><Relationship Id="rId11" Type="http://schemas.openxmlformats.org/officeDocument/2006/relationships/hyperlink" Target="https://www.ceta.org.co/html/vista_de_un_articulo.asp?Norma=725" TargetMode="External"/><Relationship Id="rId5" Type="http://schemas.openxmlformats.org/officeDocument/2006/relationships/hyperlink" Target="https://www.ceta.org.co/html/vista_de_un_articulo.asp?Norma=891" TargetMode="External"/><Relationship Id="rId15" Type="http://schemas.openxmlformats.org/officeDocument/2006/relationships/theme" Target="theme/theme1.xml"/><Relationship Id="rId10" Type="http://schemas.openxmlformats.org/officeDocument/2006/relationships/hyperlink" Target="https://www.ceta.org.co/html/vista_de_un_articulo.asp?Norma=800" TargetMode="External"/><Relationship Id="rId4" Type="http://schemas.openxmlformats.org/officeDocument/2006/relationships/hyperlink" Target="https://www.ceta.org.co/html/vista_de_un_articulo.asp?Norma=1078" TargetMode="External"/><Relationship Id="rId9" Type="http://schemas.openxmlformats.org/officeDocument/2006/relationships/hyperlink" Target="https://www.ceta.org.co/html/vista_de_un_articulo.asp?Norma=801"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1746</Words>
  <Characters>9606</Characters>
  <Application>Microsoft Office Word</Application>
  <DocSecurity>0</DocSecurity>
  <Lines>80</Lines>
  <Paragraphs>22</Paragraphs>
  <ScaleCrop>false</ScaleCrop>
  <Company/>
  <LinksUpToDate>false</LinksUpToDate>
  <CharactersWithSpaces>11330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Hugo Tapasco Duque</dc:creator>
  <cp:keywords/>
  <dc:description/>
  <cp:lastModifiedBy>Victor Hugo Tapasco Duque</cp:lastModifiedBy>
  <cp:revision>2</cp:revision>
  <dcterms:created xsi:type="dcterms:W3CDTF">2022-07-25T15:30:00Z</dcterms:created>
  <dcterms:modified xsi:type="dcterms:W3CDTF">2022-07-25T15:30:00Z</dcterms:modified>
</cp:coreProperties>
</file>