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E75A75" w14:textId="77777777" w:rsidR="002656F2" w:rsidRPr="002656F2" w:rsidRDefault="002656F2" w:rsidP="002656F2">
      <w:pPr>
        <w:spacing w:after="0" w:line="240" w:lineRule="auto"/>
        <w:jc w:val="center"/>
        <w:rPr>
          <w:rFonts w:ascii="Arial" w:eastAsia="Times New Roman" w:hAnsi="Arial" w:cs="Arial"/>
          <w:color w:val="000000"/>
          <w:sz w:val="18"/>
          <w:szCs w:val="18"/>
          <w:lang w:eastAsia="es-ES"/>
        </w:rPr>
      </w:pPr>
      <w:r w:rsidRPr="002656F2">
        <w:rPr>
          <w:rFonts w:ascii="Segoe UI" w:eastAsia="Times New Roman" w:hAnsi="Segoe UI" w:cs="Segoe UI"/>
          <w:b/>
          <w:bCs/>
          <w:color w:val="0000FF"/>
          <w:sz w:val="28"/>
          <w:szCs w:val="28"/>
          <w:lang w:val="es-CO" w:eastAsia="es-ES"/>
        </w:rPr>
        <w:t xml:space="preserve">OFICIO </w:t>
      </w:r>
      <w:proofErr w:type="spellStart"/>
      <w:r w:rsidRPr="002656F2">
        <w:rPr>
          <w:rFonts w:ascii="Segoe UI" w:eastAsia="Times New Roman" w:hAnsi="Segoe UI" w:cs="Segoe UI"/>
          <w:b/>
          <w:bCs/>
          <w:color w:val="0000FF"/>
          <w:sz w:val="28"/>
          <w:szCs w:val="28"/>
          <w:lang w:val="es-CO" w:eastAsia="es-ES"/>
        </w:rPr>
        <w:t>Nº</w:t>
      </w:r>
      <w:proofErr w:type="spellEnd"/>
      <w:r w:rsidRPr="002656F2">
        <w:rPr>
          <w:rFonts w:ascii="Segoe UI" w:eastAsia="Times New Roman" w:hAnsi="Segoe UI" w:cs="Segoe UI"/>
          <w:b/>
          <w:bCs/>
          <w:color w:val="0000FF"/>
          <w:sz w:val="28"/>
          <w:szCs w:val="28"/>
          <w:lang w:val="es-CO" w:eastAsia="es-ES"/>
        </w:rPr>
        <w:t xml:space="preserve"> 1118 [907287]</w:t>
      </w:r>
    </w:p>
    <w:p w14:paraId="7385FACA" w14:textId="77777777" w:rsidR="002656F2" w:rsidRPr="002656F2" w:rsidRDefault="002656F2" w:rsidP="002656F2">
      <w:pPr>
        <w:spacing w:after="0" w:line="240" w:lineRule="auto"/>
        <w:jc w:val="center"/>
        <w:rPr>
          <w:rFonts w:ascii="Arial" w:eastAsia="Times New Roman" w:hAnsi="Arial" w:cs="Arial"/>
          <w:color w:val="000000"/>
          <w:sz w:val="18"/>
          <w:szCs w:val="18"/>
          <w:lang w:eastAsia="es-ES"/>
        </w:rPr>
      </w:pPr>
      <w:r w:rsidRPr="002656F2">
        <w:rPr>
          <w:rFonts w:ascii="Segoe UI" w:eastAsia="Times New Roman" w:hAnsi="Segoe UI" w:cs="Segoe UI"/>
          <w:b/>
          <w:bCs/>
          <w:color w:val="0000FF"/>
          <w:sz w:val="28"/>
          <w:szCs w:val="28"/>
          <w:lang w:val="es-CO" w:eastAsia="es-ES"/>
        </w:rPr>
        <w:t>22-07-2021</w:t>
      </w:r>
    </w:p>
    <w:p w14:paraId="75F311BD" w14:textId="77777777" w:rsidR="002656F2" w:rsidRPr="002656F2" w:rsidRDefault="002656F2" w:rsidP="002656F2">
      <w:pPr>
        <w:spacing w:after="0" w:line="240" w:lineRule="auto"/>
        <w:jc w:val="center"/>
        <w:rPr>
          <w:rFonts w:ascii="Arial" w:eastAsia="Times New Roman" w:hAnsi="Arial" w:cs="Arial"/>
          <w:color w:val="000000"/>
          <w:sz w:val="18"/>
          <w:szCs w:val="18"/>
          <w:lang w:eastAsia="es-ES"/>
        </w:rPr>
      </w:pPr>
      <w:r w:rsidRPr="002656F2">
        <w:rPr>
          <w:rFonts w:ascii="Segoe UI" w:eastAsia="Times New Roman" w:hAnsi="Segoe UI" w:cs="Segoe UI"/>
          <w:b/>
          <w:bCs/>
          <w:color w:val="0000FF"/>
          <w:sz w:val="28"/>
          <w:szCs w:val="28"/>
          <w:lang w:val="es-CO" w:eastAsia="es-ES"/>
        </w:rPr>
        <w:t>DIAN</w:t>
      </w:r>
    </w:p>
    <w:p w14:paraId="08FC7154" w14:textId="77777777" w:rsidR="002656F2" w:rsidRPr="002656F2" w:rsidRDefault="002656F2" w:rsidP="002656F2">
      <w:pPr>
        <w:spacing w:after="0" w:line="240" w:lineRule="auto"/>
        <w:jc w:val="both"/>
        <w:rPr>
          <w:rFonts w:ascii="Arial" w:eastAsia="Times New Roman" w:hAnsi="Arial" w:cs="Arial"/>
          <w:color w:val="000000"/>
          <w:sz w:val="18"/>
          <w:szCs w:val="18"/>
          <w:lang w:eastAsia="es-ES"/>
        </w:rPr>
      </w:pPr>
      <w:r w:rsidRPr="002656F2">
        <w:rPr>
          <w:rFonts w:ascii="Segoe UI" w:eastAsia="Times New Roman" w:hAnsi="Segoe UI" w:cs="Segoe UI"/>
          <w:lang w:val="es-CO" w:eastAsia="es-ES"/>
        </w:rPr>
        <w:t> </w:t>
      </w:r>
    </w:p>
    <w:p w14:paraId="57946C1F" w14:textId="77777777" w:rsidR="002656F2" w:rsidRPr="002656F2" w:rsidRDefault="002656F2" w:rsidP="002656F2">
      <w:pPr>
        <w:spacing w:after="0" w:line="240" w:lineRule="auto"/>
        <w:jc w:val="both"/>
        <w:rPr>
          <w:rFonts w:ascii="Arial" w:eastAsia="Times New Roman" w:hAnsi="Arial" w:cs="Arial"/>
          <w:color w:val="000000"/>
          <w:sz w:val="18"/>
          <w:szCs w:val="18"/>
          <w:lang w:eastAsia="es-ES"/>
        </w:rPr>
      </w:pPr>
      <w:r w:rsidRPr="002656F2">
        <w:rPr>
          <w:rFonts w:ascii="Segoe UI" w:eastAsia="Times New Roman" w:hAnsi="Segoe UI" w:cs="Segoe UI"/>
          <w:lang w:val="es-CO" w:eastAsia="es-ES"/>
        </w:rPr>
        <w:t> </w:t>
      </w:r>
    </w:p>
    <w:p w14:paraId="7404BB79" w14:textId="77777777" w:rsidR="002656F2" w:rsidRPr="002656F2" w:rsidRDefault="002656F2" w:rsidP="002656F2">
      <w:pPr>
        <w:spacing w:after="0" w:line="240" w:lineRule="auto"/>
        <w:jc w:val="both"/>
        <w:rPr>
          <w:rFonts w:ascii="Arial" w:eastAsia="Times New Roman" w:hAnsi="Arial" w:cs="Arial"/>
          <w:color w:val="000000"/>
          <w:sz w:val="18"/>
          <w:szCs w:val="18"/>
          <w:lang w:eastAsia="es-ES"/>
        </w:rPr>
      </w:pPr>
      <w:r w:rsidRPr="002656F2">
        <w:rPr>
          <w:rFonts w:ascii="Segoe UI" w:eastAsia="Times New Roman" w:hAnsi="Segoe UI" w:cs="Segoe UI"/>
          <w:lang w:val="es-CO" w:eastAsia="es-ES"/>
        </w:rPr>
        <w:t>Subdirección de Gestión Normativa y Doctrina</w:t>
      </w:r>
    </w:p>
    <w:p w14:paraId="74990578" w14:textId="77777777" w:rsidR="002656F2" w:rsidRPr="002656F2" w:rsidRDefault="002656F2" w:rsidP="002656F2">
      <w:pPr>
        <w:spacing w:after="0" w:line="240" w:lineRule="auto"/>
        <w:jc w:val="both"/>
        <w:rPr>
          <w:rFonts w:ascii="Arial" w:eastAsia="Times New Roman" w:hAnsi="Arial" w:cs="Arial"/>
          <w:color w:val="000000"/>
          <w:sz w:val="18"/>
          <w:szCs w:val="18"/>
          <w:lang w:eastAsia="es-ES"/>
        </w:rPr>
      </w:pPr>
      <w:r w:rsidRPr="002656F2">
        <w:rPr>
          <w:rFonts w:ascii="Segoe UI" w:eastAsia="Times New Roman" w:hAnsi="Segoe UI" w:cs="Segoe UI"/>
          <w:lang w:val="es-CO" w:eastAsia="es-ES"/>
        </w:rPr>
        <w:t>100208221-1118</w:t>
      </w:r>
    </w:p>
    <w:p w14:paraId="2D73B7D1" w14:textId="77777777" w:rsidR="002656F2" w:rsidRPr="002656F2" w:rsidRDefault="002656F2" w:rsidP="002656F2">
      <w:pPr>
        <w:spacing w:after="0" w:line="240" w:lineRule="auto"/>
        <w:jc w:val="both"/>
        <w:rPr>
          <w:rFonts w:ascii="Arial" w:eastAsia="Times New Roman" w:hAnsi="Arial" w:cs="Arial"/>
          <w:color w:val="000000"/>
          <w:sz w:val="18"/>
          <w:szCs w:val="18"/>
          <w:lang w:eastAsia="es-ES"/>
        </w:rPr>
      </w:pPr>
      <w:r w:rsidRPr="002656F2">
        <w:rPr>
          <w:rFonts w:ascii="Segoe UI" w:eastAsia="Times New Roman" w:hAnsi="Segoe UI" w:cs="Segoe UI"/>
          <w:lang w:val="es-CO" w:eastAsia="es-ES"/>
        </w:rPr>
        <w:t>Bogotá, D.C.</w:t>
      </w:r>
    </w:p>
    <w:p w14:paraId="4B5FA411" w14:textId="77777777" w:rsidR="002656F2" w:rsidRPr="002656F2" w:rsidRDefault="002656F2" w:rsidP="002656F2">
      <w:pPr>
        <w:spacing w:after="0" w:line="240" w:lineRule="auto"/>
        <w:jc w:val="both"/>
        <w:rPr>
          <w:rFonts w:ascii="Arial" w:eastAsia="Times New Roman" w:hAnsi="Arial" w:cs="Arial"/>
          <w:color w:val="000000"/>
          <w:sz w:val="18"/>
          <w:szCs w:val="18"/>
          <w:lang w:eastAsia="es-ES"/>
        </w:rPr>
      </w:pPr>
      <w:r w:rsidRPr="002656F2">
        <w:rPr>
          <w:rFonts w:ascii="Segoe UI" w:eastAsia="Times New Roman" w:hAnsi="Segoe UI" w:cs="Segoe UI"/>
          <w:lang w:val="es-CO" w:eastAsia="es-ES"/>
        </w:rPr>
        <w:t> </w:t>
      </w:r>
    </w:p>
    <w:tbl>
      <w:tblPr>
        <w:tblW w:w="0" w:type="auto"/>
        <w:tblCellMar>
          <w:left w:w="0" w:type="dxa"/>
          <w:right w:w="0" w:type="dxa"/>
        </w:tblCellMar>
        <w:tblLook w:val="04A0" w:firstRow="1" w:lastRow="0" w:firstColumn="1" w:lastColumn="0" w:noHBand="0" w:noVBand="1"/>
      </w:tblPr>
      <w:tblGrid>
        <w:gridCol w:w="1780"/>
        <w:gridCol w:w="271"/>
        <w:gridCol w:w="271"/>
        <w:gridCol w:w="6182"/>
      </w:tblGrid>
      <w:tr w:rsidR="002656F2" w:rsidRPr="002656F2" w14:paraId="5237DFD3" w14:textId="77777777" w:rsidTr="002656F2">
        <w:tc>
          <w:tcPr>
            <w:tcW w:w="1825" w:type="dxa"/>
            <w:tcBorders>
              <w:top w:val="nil"/>
              <w:left w:val="nil"/>
              <w:bottom w:val="nil"/>
              <w:right w:val="nil"/>
            </w:tcBorders>
            <w:shd w:val="clear" w:color="auto" w:fill="auto"/>
            <w:tcMar>
              <w:top w:w="0" w:type="dxa"/>
              <w:left w:w="108" w:type="dxa"/>
              <w:bottom w:w="0" w:type="dxa"/>
              <w:right w:w="108" w:type="dxa"/>
            </w:tcMar>
            <w:hideMark/>
          </w:tcPr>
          <w:p w14:paraId="2F260388" w14:textId="77777777" w:rsidR="002656F2" w:rsidRPr="002656F2" w:rsidRDefault="002656F2" w:rsidP="002656F2">
            <w:pPr>
              <w:spacing w:after="0" w:line="240" w:lineRule="auto"/>
              <w:jc w:val="both"/>
              <w:rPr>
                <w:rFonts w:ascii="Times New Roman" w:eastAsia="Times New Roman" w:hAnsi="Times New Roman" w:cs="Times New Roman"/>
                <w:sz w:val="24"/>
                <w:szCs w:val="24"/>
                <w:lang w:eastAsia="es-ES"/>
              </w:rPr>
            </w:pPr>
            <w:r w:rsidRPr="002656F2">
              <w:rPr>
                <w:rFonts w:ascii="Segoe UI" w:eastAsia="Times New Roman" w:hAnsi="Segoe UI" w:cs="Segoe UI"/>
                <w:b/>
                <w:bCs/>
                <w:sz w:val="20"/>
                <w:szCs w:val="20"/>
                <w:lang w:val="es-CO" w:eastAsia="es-ES"/>
              </w:rPr>
              <w:t>Tema</w:t>
            </w:r>
          </w:p>
        </w:tc>
        <w:tc>
          <w:tcPr>
            <w:tcW w:w="236" w:type="dxa"/>
            <w:tcBorders>
              <w:top w:val="nil"/>
              <w:left w:val="nil"/>
              <w:bottom w:val="nil"/>
              <w:right w:val="nil"/>
            </w:tcBorders>
            <w:shd w:val="clear" w:color="auto" w:fill="auto"/>
            <w:tcMar>
              <w:top w:w="0" w:type="dxa"/>
              <w:left w:w="108" w:type="dxa"/>
              <w:bottom w:w="0" w:type="dxa"/>
              <w:right w:w="108" w:type="dxa"/>
            </w:tcMar>
            <w:hideMark/>
          </w:tcPr>
          <w:p w14:paraId="60624CB3" w14:textId="77777777" w:rsidR="002656F2" w:rsidRPr="002656F2" w:rsidRDefault="002656F2" w:rsidP="002656F2">
            <w:pPr>
              <w:spacing w:after="0" w:line="240" w:lineRule="auto"/>
              <w:jc w:val="both"/>
              <w:rPr>
                <w:rFonts w:ascii="Times New Roman" w:eastAsia="Times New Roman" w:hAnsi="Times New Roman" w:cs="Times New Roman"/>
                <w:sz w:val="24"/>
                <w:szCs w:val="24"/>
                <w:lang w:eastAsia="es-ES"/>
              </w:rPr>
            </w:pPr>
            <w:r w:rsidRPr="002656F2">
              <w:rPr>
                <w:rFonts w:ascii="Segoe UI" w:eastAsia="Times New Roman" w:hAnsi="Segoe UI" w:cs="Segoe UI"/>
                <w:sz w:val="20"/>
                <w:szCs w:val="20"/>
                <w:lang w:val="es-CO" w:eastAsia="es-ES"/>
              </w:rPr>
              <w:t> </w:t>
            </w:r>
          </w:p>
        </w:tc>
        <w:tc>
          <w:tcPr>
            <w:tcW w:w="236" w:type="dxa"/>
            <w:tcBorders>
              <w:top w:val="nil"/>
              <w:left w:val="nil"/>
              <w:bottom w:val="nil"/>
              <w:right w:val="nil"/>
            </w:tcBorders>
            <w:shd w:val="clear" w:color="auto" w:fill="auto"/>
            <w:tcMar>
              <w:top w:w="0" w:type="dxa"/>
              <w:left w:w="108" w:type="dxa"/>
              <w:bottom w:w="0" w:type="dxa"/>
              <w:right w:w="108" w:type="dxa"/>
            </w:tcMar>
            <w:hideMark/>
          </w:tcPr>
          <w:p w14:paraId="36255621" w14:textId="77777777" w:rsidR="002656F2" w:rsidRPr="002656F2" w:rsidRDefault="002656F2" w:rsidP="002656F2">
            <w:pPr>
              <w:spacing w:after="0" w:line="240" w:lineRule="auto"/>
              <w:jc w:val="both"/>
              <w:rPr>
                <w:rFonts w:ascii="Times New Roman" w:eastAsia="Times New Roman" w:hAnsi="Times New Roman" w:cs="Times New Roman"/>
                <w:sz w:val="24"/>
                <w:szCs w:val="24"/>
                <w:lang w:eastAsia="es-ES"/>
              </w:rPr>
            </w:pPr>
            <w:r w:rsidRPr="002656F2">
              <w:rPr>
                <w:rFonts w:ascii="Segoe UI" w:eastAsia="Times New Roman" w:hAnsi="Segoe UI" w:cs="Segoe UI"/>
                <w:sz w:val="20"/>
                <w:szCs w:val="20"/>
                <w:lang w:val="es-CO" w:eastAsia="es-ES"/>
              </w:rPr>
              <w:t> </w:t>
            </w:r>
          </w:p>
        </w:tc>
        <w:tc>
          <w:tcPr>
            <w:tcW w:w="6588" w:type="dxa"/>
            <w:tcBorders>
              <w:top w:val="nil"/>
              <w:left w:val="nil"/>
              <w:bottom w:val="nil"/>
              <w:right w:val="nil"/>
            </w:tcBorders>
            <w:shd w:val="clear" w:color="auto" w:fill="auto"/>
            <w:tcMar>
              <w:top w:w="0" w:type="dxa"/>
              <w:left w:w="108" w:type="dxa"/>
              <w:bottom w:w="0" w:type="dxa"/>
              <w:right w:w="108" w:type="dxa"/>
            </w:tcMar>
            <w:hideMark/>
          </w:tcPr>
          <w:p w14:paraId="5166076E" w14:textId="77777777" w:rsidR="002656F2" w:rsidRPr="002656F2" w:rsidRDefault="002656F2" w:rsidP="002656F2">
            <w:pPr>
              <w:spacing w:after="0" w:line="240" w:lineRule="auto"/>
              <w:jc w:val="both"/>
              <w:rPr>
                <w:rFonts w:ascii="Times New Roman" w:eastAsia="Times New Roman" w:hAnsi="Times New Roman" w:cs="Times New Roman"/>
                <w:sz w:val="24"/>
                <w:szCs w:val="24"/>
                <w:lang w:eastAsia="es-ES"/>
              </w:rPr>
            </w:pPr>
            <w:r w:rsidRPr="002656F2">
              <w:rPr>
                <w:rFonts w:ascii="Segoe UI" w:eastAsia="Times New Roman" w:hAnsi="Segoe UI" w:cs="Segoe UI"/>
                <w:sz w:val="20"/>
                <w:szCs w:val="20"/>
                <w:lang w:val="es-CO" w:eastAsia="es-ES"/>
              </w:rPr>
              <w:t>Procedimiento tributario</w:t>
            </w:r>
          </w:p>
        </w:tc>
      </w:tr>
      <w:tr w:rsidR="002656F2" w:rsidRPr="002656F2" w14:paraId="0061CA43" w14:textId="77777777" w:rsidTr="002656F2">
        <w:tc>
          <w:tcPr>
            <w:tcW w:w="1825" w:type="dxa"/>
            <w:tcBorders>
              <w:top w:val="nil"/>
              <w:left w:val="nil"/>
              <w:bottom w:val="nil"/>
              <w:right w:val="nil"/>
            </w:tcBorders>
            <w:shd w:val="clear" w:color="auto" w:fill="auto"/>
            <w:tcMar>
              <w:top w:w="0" w:type="dxa"/>
              <w:left w:w="108" w:type="dxa"/>
              <w:bottom w:w="0" w:type="dxa"/>
              <w:right w:w="108" w:type="dxa"/>
            </w:tcMar>
            <w:hideMark/>
          </w:tcPr>
          <w:p w14:paraId="44928BD3" w14:textId="77777777" w:rsidR="002656F2" w:rsidRPr="002656F2" w:rsidRDefault="002656F2" w:rsidP="002656F2">
            <w:pPr>
              <w:spacing w:after="0" w:line="240" w:lineRule="auto"/>
              <w:jc w:val="both"/>
              <w:rPr>
                <w:rFonts w:ascii="Times New Roman" w:eastAsia="Times New Roman" w:hAnsi="Times New Roman" w:cs="Times New Roman"/>
                <w:sz w:val="24"/>
                <w:szCs w:val="24"/>
                <w:lang w:eastAsia="es-ES"/>
              </w:rPr>
            </w:pPr>
            <w:r w:rsidRPr="002656F2">
              <w:rPr>
                <w:rFonts w:ascii="Segoe UI" w:eastAsia="Times New Roman" w:hAnsi="Segoe UI" w:cs="Segoe UI"/>
                <w:b/>
                <w:bCs/>
                <w:sz w:val="20"/>
                <w:szCs w:val="20"/>
                <w:lang w:val="es-CO" w:eastAsia="es-ES"/>
              </w:rPr>
              <w:t>Descriptores</w:t>
            </w:r>
          </w:p>
        </w:tc>
        <w:tc>
          <w:tcPr>
            <w:tcW w:w="236" w:type="dxa"/>
            <w:tcBorders>
              <w:top w:val="nil"/>
              <w:left w:val="nil"/>
              <w:bottom w:val="nil"/>
              <w:right w:val="nil"/>
            </w:tcBorders>
            <w:shd w:val="clear" w:color="auto" w:fill="auto"/>
            <w:tcMar>
              <w:top w:w="0" w:type="dxa"/>
              <w:left w:w="108" w:type="dxa"/>
              <w:bottom w:w="0" w:type="dxa"/>
              <w:right w:w="108" w:type="dxa"/>
            </w:tcMar>
            <w:hideMark/>
          </w:tcPr>
          <w:p w14:paraId="450B0641" w14:textId="77777777" w:rsidR="002656F2" w:rsidRPr="002656F2" w:rsidRDefault="002656F2" w:rsidP="002656F2">
            <w:pPr>
              <w:spacing w:after="0" w:line="240" w:lineRule="auto"/>
              <w:jc w:val="both"/>
              <w:rPr>
                <w:rFonts w:ascii="Times New Roman" w:eastAsia="Times New Roman" w:hAnsi="Times New Roman" w:cs="Times New Roman"/>
                <w:sz w:val="24"/>
                <w:szCs w:val="24"/>
                <w:lang w:eastAsia="es-ES"/>
              </w:rPr>
            </w:pPr>
            <w:r w:rsidRPr="002656F2">
              <w:rPr>
                <w:rFonts w:ascii="Segoe UI" w:eastAsia="Times New Roman" w:hAnsi="Segoe UI" w:cs="Segoe UI"/>
                <w:sz w:val="20"/>
                <w:szCs w:val="20"/>
                <w:lang w:val="es-CO" w:eastAsia="es-ES"/>
              </w:rPr>
              <w:t> </w:t>
            </w:r>
          </w:p>
        </w:tc>
        <w:tc>
          <w:tcPr>
            <w:tcW w:w="236" w:type="dxa"/>
            <w:tcBorders>
              <w:top w:val="nil"/>
              <w:left w:val="nil"/>
              <w:bottom w:val="nil"/>
              <w:right w:val="nil"/>
            </w:tcBorders>
            <w:shd w:val="clear" w:color="auto" w:fill="auto"/>
            <w:tcMar>
              <w:top w:w="0" w:type="dxa"/>
              <w:left w:w="108" w:type="dxa"/>
              <w:bottom w:w="0" w:type="dxa"/>
              <w:right w:w="108" w:type="dxa"/>
            </w:tcMar>
            <w:hideMark/>
          </w:tcPr>
          <w:p w14:paraId="52FBB4F8" w14:textId="77777777" w:rsidR="002656F2" w:rsidRPr="002656F2" w:rsidRDefault="002656F2" w:rsidP="002656F2">
            <w:pPr>
              <w:spacing w:after="0" w:line="240" w:lineRule="auto"/>
              <w:jc w:val="both"/>
              <w:rPr>
                <w:rFonts w:ascii="Times New Roman" w:eastAsia="Times New Roman" w:hAnsi="Times New Roman" w:cs="Times New Roman"/>
                <w:sz w:val="24"/>
                <w:szCs w:val="24"/>
                <w:lang w:eastAsia="es-ES"/>
              </w:rPr>
            </w:pPr>
            <w:r w:rsidRPr="002656F2">
              <w:rPr>
                <w:rFonts w:ascii="Segoe UI" w:eastAsia="Times New Roman" w:hAnsi="Segoe UI" w:cs="Segoe UI"/>
                <w:sz w:val="20"/>
                <w:szCs w:val="20"/>
                <w:lang w:val="es-CO" w:eastAsia="es-ES"/>
              </w:rPr>
              <w:t> </w:t>
            </w:r>
          </w:p>
        </w:tc>
        <w:tc>
          <w:tcPr>
            <w:tcW w:w="6588" w:type="dxa"/>
            <w:tcBorders>
              <w:top w:val="nil"/>
              <w:left w:val="nil"/>
              <w:bottom w:val="nil"/>
              <w:right w:val="nil"/>
            </w:tcBorders>
            <w:shd w:val="clear" w:color="auto" w:fill="auto"/>
            <w:tcMar>
              <w:top w:w="0" w:type="dxa"/>
              <w:left w:w="108" w:type="dxa"/>
              <w:bottom w:w="0" w:type="dxa"/>
              <w:right w:w="108" w:type="dxa"/>
            </w:tcMar>
            <w:hideMark/>
          </w:tcPr>
          <w:p w14:paraId="1D5A6144" w14:textId="77777777" w:rsidR="002656F2" w:rsidRPr="002656F2" w:rsidRDefault="002656F2" w:rsidP="002656F2">
            <w:pPr>
              <w:spacing w:after="0" w:line="240" w:lineRule="auto"/>
              <w:jc w:val="both"/>
              <w:rPr>
                <w:rFonts w:ascii="Times New Roman" w:eastAsia="Times New Roman" w:hAnsi="Times New Roman" w:cs="Times New Roman"/>
                <w:sz w:val="24"/>
                <w:szCs w:val="24"/>
                <w:lang w:eastAsia="es-ES"/>
              </w:rPr>
            </w:pPr>
            <w:r w:rsidRPr="002656F2">
              <w:rPr>
                <w:rFonts w:ascii="Segoe UI" w:eastAsia="Times New Roman" w:hAnsi="Segoe UI" w:cs="Segoe UI"/>
                <w:sz w:val="20"/>
                <w:szCs w:val="20"/>
                <w:lang w:val="es-CO" w:eastAsia="es-ES"/>
              </w:rPr>
              <w:t>Firmeza de la declaración</w:t>
            </w:r>
          </w:p>
          <w:p w14:paraId="2F523902" w14:textId="77777777" w:rsidR="002656F2" w:rsidRPr="002656F2" w:rsidRDefault="002656F2" w:rsidP="002656F2">
            <w:pPr>
              <w:spacing w:after="0" w:line="240" w:lineRule="auto"/>
              <w:jc w:val="both"/>
              <w:rPr>
                <w:rFonts w:ascii="Times New Roman" w:eastAsia="Times New Roman" w:hAnsi="Times New Roman" w:cs="Times New Roman"/>
                <w:sz w:val="24"/>
                <w:szCs w:val="24"/>
                <w:lang w:eastAsia="es-ES"/>
              </w:rPr>
            </w:pPr>
            <w:r w:rsidRPr="002656F2">
              <w:rPr>
                <w:rFonts w:ascii="Segoe UI" w:eastAsia="Times New Roman" w:hAnsi="Segoe UI" w:cs="Segoe UI"/>
                <w:sz w:val="20"/>
                <w:szCs w:val="20"/>
                <w:lang w:val="es-CO" w:eastAsia="es-ES"/>
              </w:rPr>
              <w:t>Corrección provocada por la administración</w:t>
            </w:r>
          </w:p>
        </w:tc>
      </w:tr>
      <w:tr w:rsidR="002656F2" w:rsidRPr="002656F2" w14:paraId="53B56CEA" w14:textId="77777777" w:rsidTr="002656F2">
        <w:tc>
          <w:tcPr>
            <w:tcW w:w="1825" w:type="dxa"/>
            <w:tcBorders>
              <w:top w:val="nil"/>
              <w:left w:val="nil"/>
              <w:bottom w:val="nil"/>
              <w:right w:val="nil"/>
            </w:tcBorders>
            <w:shd w:val="clear" w:color="auto" w:fill="auto"/>
            <w:tcMar>
              <w:top w:w="0" w:type="dxa"/>
              <w:left w:w="108" w:type="dxa"/>
              <w:bottom w:w="0" w:type="dxa"/>
              <w:right w:w="108" w:type="dxa"/>
            </w:tcMar>
            <w:hideMark/>
          </w:tcPr>
          <w:p w14:paraId="42991939" w14:textId="77777777" w:rsidR="002656F2" w:rsidRPr="002656F2" w:rsidRDefault="002656F2" w:rsidP="002656F2">
            <w:pPr>
              <w:spacing w:after="0" w:line="240" w:lineRule="auto"/>
              <w:jc w:val="both"/>
              <w:rPr>
                <w:rFonts w:ascii="Times New Roman" w:eastAsia="Times New Roman" w:hAnsi="Times New Roman" w:cs="Times New Roman"/>
                <w:sz w:val="24"/>
                <w:szCs w:val="24"/>
                <w:lang w:eastAsia="es-ES"/>
              </w:rPr>
            </w:pPr>
            <w:r w:rsidRPr="002656F2">
              <w:rPr>
                <w:rFonts w:ascii="Segoe UI" w:eastAsia="Times New Roman" w:hAnsi="Segoe UI" w:cs="Segoe UI"/>
                <w:b/>
                <w:bCs/>
                <w:sz w:val="20"/>
                <w:szCs w:val="20"/>
                <w:lang w:val="es-CO" w:eastAsia="es-ES"/>
              </w:rPr>
              <w:t>Fuentes formales</w:t>
            </w:r>
          </w:p>
        </w:tc>
        <w:tc>
          <w:tcPr>
            <w:tcW w:w="236" w:type="dxa"/>
            <w:tcBorders>
              <w:top w:val="nil"/>
              <w:left w:val="nil"/>
              <w:bottom w:val="nil"/>
              <w:right w:val="nil"/>
            </w:tcBorders>
            <w:shd w:val="clear" w:color="auto" w:fill="auto"/>
            <w:tcMar>
              <w:top w:w="0" w:type="dxa"/>
              <w:left w:w="108" w:type="dxa"/>
              <w:bottom w:w="0" w:type="dxa"/>
              <w:right w:w="108" w:type="dxa"/>
            </w:tcMar>
            <w:hideMark/>
          </w:tcPr>
          <w:p w14:paraId="066971FC" w14:textId="77777777" w:rsidR="002656F2" w:rsidRPr="002656F2" w:rsidRDefault="002656F2" w:rsidP="002656F2">
            <w:pPr>
              <w:spacing w:after="0" w:line="240" w:lineRule="auto"/>
              <w:jc w:val="both"/>
              <w:rPr>
                <w:rFonts w:ascii="Times New Roman" w:eastAsia="Times New Roman" w:hAnsi="Times New Roman" w:cs="Times New Roman"/>
                <w:sz w:val="24"/>
                <w:szCs w:val="24"/>
                <w:lang w:eastAsia="es-ES"/>
              </w:rPr>
            </w:pPr>
            <w:r w:rsidRPr="002656F2">
              <w:rPr>
                <w:rFonts w:ascii="Segoe UI" w:eastAsia="Times New Roman" w:hAnsi="Segoe UI" w:cs="Segoe UI"/>
                <w:sz w:val="20"/>
                <w:szCs w:val="20"/>
                <w:lang w:val="es-CO" w:eastAsia="es-ES"/>
              </w:rPr>
              <w:t> </w:t>
            </w:r>
          </w:p>
        </w:tc>
        <w:tc>
          <w:tcPr>
            <w:tcW w:w="236" w:type="dxa"/>
            <w:tcBorders>
              <w:top w:val="nil"/>
              <w:left w:val="nil"/>
              <w:bottom w:val="nil"/>
              <w:right w:val="nil"/>
            </w:tcBorders>
            <w:shd w:val="clear" w:color="auto" w:fill="auto"/>
            <w:tcMar>
              <w:top w:w="0" w:type="dxa"/>
              <w:left w:w="108" w:type="dxa"/>
              <w:bottom w:w="0" w:type="dxa"/>
              <w:right w:w="108" w:type="dxa"/>
            </w:tcMar>
            <w:hideMark/>
          </w:tcPr>
          <w:p w14:paraId="16467CFB" w14:textId="77777777" w:rsidR="002656F2" w:rsidRPr="002656F2" w:rsidRDefault="002656F2" w:rsidP="002656F2">
            <w:pPr>
              <w:spacing w:after="0" w:line="240" w:lineRule="auto"/>
              <w:jc w:val="both"/>
              <w:rPr>
                <w:rFonts w:ascii="Times New Roman" w:eastAsia="Times New Roman" w:hAnsi="Times New Roman" w:cs="Times New Roman"/>
                <w:sz w:val="24"/>
                <w:szCs w:val="24"/>
                <w:lang w:eastAsia="es-ES"/>
              </w:rPr>
            </w:pPr>
            <w:r w:rsidRPr="002656F2">
              <w:rPr>
                <w:rFonts w:ascii="Segoe UI" w:eastAsia="Times New Roman" w:hAnsi="Segoe UI" w:cs="Segoe UI"/>
                <w:sz w:val="20"/>
                <w:szCs w:val="20"/>
                <w:lang w:val="es-CO" w:eastAsia="es-ES"/>
              </w:rPr>
              <w:t> </w:t>
            </w:r>
          </w:p>
        </w:tc>
        <w:tc>
          <w:tcPr>
            <w:tcW w:w="6588" w:type="dxa"/>
            <w:tcBorders>
              <w:top w:val="nil"/>
              <w:left w:val="nil"/>
              <w:bottom w:val="nil"/>
              <w:right w:val="nil"/>
            </w:tcBorders>
            <w:shd w:val="clear" w:color="auto" w:fill="auto"/>
            <w:tcMar>
              <w:top w:w="0" w:type="dxa"/>
              <w:left w:w="108" w:type="dxa"/>
              <w:bottom w:w="0" w:type="dxa"/>
              <w:right w:w="108" w:type="dxa"/>
            </w:tcMar>
            <w:hideMark/>
          </w:tcPr>
          <w:p w14:paraId="29357803" w14:textId="77777777" w:rsidR="002656F2" w:rsidRPr="002656F2" w:rsidRDefault="002656F2" w:rsidP="002656F2">
            <w:pPr>
              <w:spacing w:after="0" w:line="240" w:lineRule="auto"/>
              <w:jc w:val="both"/>
              <w:rPr>
                <w:rFonts w:ascii="Times New Roman" w:eastAsia="Times New Roman" w:hAnsi="Times New Roman" w:cs="Times New Roman"/>
                <w:sz w:val="24"/>
                <w:szCs w:val="24"/>
                <w:lang w:eastAsia="es-ES"/>
              </w:rPr>
            </w:pPr>
            <w:r w:rsidRPr="002656F2">
              <w:rPr>
                <w:rFonts w:ascii="Segoe UI" w:eastAsia="Times New Roman" w:hAnsi="Segoe UI" w:cs="Segoe UI"/>
                <w:sz w:val="20"/>
                <w:szCs w:val="20"/>
                <w:lang w:val="es-CO" w:eastAsia="es-ES"/>
              </w:rPr>
              <w:t>Artículos </w:t>
            </w:r>
            <w:hyperlink r:id="rId4" w:tooltip="Estatuto Tributario CETA" w:history="1">
              <w:r w:rsidRPr="002656F2">
                <w:rPr>
                  <w:rFonts w:ascii="Segoe UI" w:eastAsia="Times New Roman" w:hAnsi="Segoe UI" w:cs="Segoe UI"/>
                  <w:color w:val="0089E1"/>
                  <w:sz w:val="20"/>
                  <w:szCs w:val="20"/>
                  <w:lang w:val="es-CO" w:eastAsia="es-ES"/>
                </w:rPr>
                <w:t>588</w:t>
              </w:r>
            </w:hyperlink>
            <w:r w:rsidRPr="002656F2">
              <w:rPr>
                <w:rFonts w:ascii="Segoe UI" w:eastAsia="Times New Roman" w:hAnsi="Segoe UI" w:cs="Segoe UI"/>
                <w:sz w:val="20"/>
                <w:szCs w:val="20"/>
                <w:lang w:val="es-CO" w:eastAsia="es-ES"/>
              </w:rPr>
              <w:t>, </w:t>
            </w:r>
            <w:hyperlink r:id="rId5" w:tooltip="Estatuto Tributario CETA" w:history="1">
              <w:r w:rsidRPr="002656F2">
                <w:rPr>
                  <w:rFonts w:ascii="Segoe UI" w:eastAsia="Times New Roman" w:hAnsi="Segoe UI" w:cs="Segoe UI"/>
                  <w:color w:val="0089E1"/>
                  <w:sz w:val="20"/>
                  <w:szCs w:val="20"/>
                  <w:lang w:val="es-CO" w:eastAsia="es-ES"/>
                </w:rPr>
                <w:t>590</w:t>
              </w:r>
            </w:hyperlink>
            <w:r w:rsidRPr="002656F2">
              <w:rPr>
                <w:rFonts w:ascii="Segoe UI" w:eastAsia="Times New Roman" w:hAnsi="Segoe UI" w:cs="Segoe UI"/>
                <w:sz w:val="20"/>
                <w:szCs w:val="20"/>
                <w:lang w:val="es-CO" w:eastAsia="es-ES"/>
              </w:rPr>
              <w:t>, </w:t>
            </w:r>
            <w:hyperlink r:id="rId6" w:tooltip="Estatuto Tributario CETA" w:history="1">
              <w:r w:rsidRPr="002656F2">
                <w:rPr>
                  <w:rFonts w:ascii="Segoe UI" w:eastAsia="Times New Roman" w:hAnsi="Segoe UI" w:cs="Segoe UI"/>
                  <w:color w:val="0089E1"/>
                  <w:sz w:val="20"/>
                  <w:szCs w:val="20"/>
                  <w:lang w:val="es-CO" w:eastAsia="es-ES"/>
                </w:rPr>
                <w:t>685</w:t>
              </w:r>
            </w:hyperlink>
            <w:r w:rsidRPr="002656F2">
              <w:rPr>
                <w:rFonts w:ascii="Segoe UI" w:eastAsia="Times New Roman" w:hAnsi="Segoe UI" w:cs="Segoe UI"/>
                <w:sz w:val="20"/>
                <w:szCs w:val="20"/>
                <w:lang w:val="es-CO" w:eastAsia="es-ES"/>
              </w:rPr>
              <w:t>, </w:t>
            </w:r>
            <w:hyperlink r:id="rId7" w:tooltip="Estatuto Tributario CETA" w:history="1">
              <w:r w:rsidRPr="002656F2">
                <w:rPr>
                  <w:rFonts w:ascii="Segoe UI" w:eastAsia="Times New Roman" w:hAnsi="Segoe UI" w:cs="Segoe UI"/>
                  <w:color w:val="0089E1"/>
                  <w:sz w:val="20"/>
                  <w:szCs w:val="20"/>
                  <w:lang w:val="es-CO" w:eastAsia="es-ES"/>
                </w:rPr>
                <w:t>705-1</w:t>
              </w:r>
            </w:hyperlink>
            <w:r w:rsidRPr="002656F2">
              <w:rPr>
                <w:rFonts w:ascii="Segoe UI" w:eastAsia="Times New Roman" w:hAnsi="Segoe UI" w:cs="Segoe UI"/>
                <w:sz w:val="20"/>
                <w:szCs w:val="20"/>
                <w:lang w:val="es-CO" w:eastAsia="es-ES"/>
              </w:rPr>
              <w:t>, </w:t>
            </w:r>
            <w:hyperlink r:id="rId8" w:tooltip="Estatuto Tributario CETA" w:history="1">
              <w:r w:rsidRPr="002656F2">
                <w:rPr>
                  <w:rFonts w:ascii="Segoe UI" w:eastAsia="Times New Roman" w:hAnsi="Segoe UI" w:cs="Segoe UI"/>
                  <w:color w:val="0089E1"/>
                  <w:sz w:val="20"/>
                  <w:szCs w:val="20"/>
                  <w:lang w:val="es-CO" w:eastAsia="es-ES"/>
                </w:rPr>
                <w:t>714</w:t>
              </w:r>
            </w:hyperlink>
            <w:r w:rsidRPr="002656F2">
              <w:rPr>
                <w:rFonts w:ascii="Segoe UI" w:eastAsia="Times New Roman" w:hAnsi="Segoe UI" w:cs="Segoe UI"/>
                <w:sz w:val="20"/>
                <w:szCs w:val="20"/>
                <w:lang w:val="es-CO" w:eastAsia="es-ES"/>
              </w:rPr>
              <w:t> del Estatuto Tributario</w:t>
            </w:r>
          </w:p>
          <w:p w14:paraId="0349C1DE" w14:textId="77777777" w:rsidR="002656F2" w:rsidRPr="002656F2" w:rsidRDefault="002656F2" w:rsidP="002656F2">
            <w:pPr>
              <w:spacing w:after="0" w:line="240" w:lineRule="auto"/>
              <w:jc w:val="both"/>
              <w:rPr>
                <w:rFonts w:ascii="Times New Roman" w:eastAsia="Times New Roman" w:hAnsi="Times New Roman" w:cs="Times New Roman"/>
                <w:sz w:val="24"/>
                <w:szCs w:val="24"/>
                <w:lang w:eastAsia="es-ES"/>
              </w:rPr>
            </w:pPr>
            <w:r w:rsidRPr="002656F2">
              <w:rPr>
                <w:rFonts w:ascii="Segoe UI" w:eastAsia="Times New Roman" w:hAnsi="Segoe UI" w:cs="Segoe UI"/>
                <w:sz w:val="20"/>
                <w:szCs w:val="20"/>
                <w:lang w:val="es-CO" w:eastAsia="es-ES"/>
              </w:rPr>
              <w:t>Conceptos 069278 del 3 de septiembre de 1998, 077259 del 11 de septiembre de 2006 y 058135 del 13 de septiembre de 2012, 077291 del 12 de diciembre de 2012</w:t>
            </w:r>
          </w:p>
          <w:p w14:paraId="3F9F0CA8" w14:textId="77777777" w:rsidR="002656F2" w:rsidRPr="002656F2" w:rsidRDefault="002656F2" w:rsidP="002656F2">
            <w:pPr>
              <w:spacing w:after="0" w:line="240" w:lineRule="auto"/>
              <w:jc w:val="both"/>
              <w:rPr>
                <w:rFonts w:ascii="Times New Roman" w:eastAsia="Times New Roman" w:hAnsi="Times New Roman" w:cs="Times New Roman"/>
                <w:sz w:val="24"/>
                <w:szCs w:val="24"/>
                <w:lang w:eastAsia="es-ES"/>
              </w:rPr>
            </w:pPr>
            <w:r w:rsidRPr="002656F2">
              <w:rPr>
                <w:rFonts w:ascii="Segoe UI" w:eastAsia="Times New Roman" w:hAnsi="Segoe UI" w:cs="Segoe UI"/>
                <w:sz w:val="20"/>
                <w:szCs w:val="20"/>
                <w:lang w:val="es-CO" w:eastAsia="es-ES"/>
              </w:rPr>
              <w:t xml:space="preserve">Consejo de Estado, Sentencia de radicación No. 19382 del 5 de marzo de 2015, </w:t>
            </w:r>
            <w:proofErr w:type="gramStart"/>
            <w:r w:rsidRPr="002656F2">
              <w:rPr>
                <w:rFonts w:ascii="Segoe UI" w:eastAsia="Times New Roman" w:hAnsi="Segoe UI" w:cs="Segoe UI"/>
                <w:sz w:val="20"/>
                <w:szCs w:val="20"/>
                <w:lang w:val="es-CO" w:eastAsia="es-ES"/>
              </w:rPr>
              <w:t>Consejero</w:t>
            </w:r>
            <w:proofErr w:type="gramEnd"/>
            <w:r w:rsidRPr="002656F2">
              <w:rPr>
                <w:rFonts w:ascii="Segoe UI" w:eastAsia="Times New Roman" w:hAnsi="Segoe UI" w:cs="Segoe UI"/>
                <w:sz w:val="20"/>
                <w:szCs w:val="20"/>
                <w:lang w:val="es-CO" w:eastAsia="es-ES"/>
              </w:rPr>
              <w:t xml:space="preserve"> Ponente Dr. Hugo Fernando Bastidas</w:t>
            </w:r>
          </w:p>
        </w:tc>
      </w:tr>
    </w:tbl>
    <w:p w14:paraId="72201C5B" w14:textId="77777777" w:rsidR="002656F2" w:rsidRPr="002656F2" w:rsidRDefault="002656F2" w:rsidP="002656F2">
      <w:pPr>
        <w:spacing w:after="0" w:line="240" w:lineRule="auto"/>
        <w:jc w:val="both"/>
        <w:rPr>
          <w:rFonts w:ascii="Arial" w:eastAsia="Times New Roman" w:hAnsi="Arial" w:cs="Arial"/>
          <w:color w:val="000000"/>
          <w:sz w:val="18"/>
          <w:szCs w:val="18"/>
          <w:lang w:eastAsia="es-ES"/>
        </w:rPr>
      </w:pPr>
      <w:r w:rsidRPr="002656F2">
        <w:rPr>
          <w:rFonts w:ascii="Segoe UI" w:eastAsia="Times New Roman" w:hAnsi="Segoe UI" w:cs="Segoe UI"/>
          <w:lang w:val="es-CO" w:eastAsia="es-ES"/>
        </w:rPr>
        <w:t> </w:t>
      </w:r>
    </w:p>
    <w:p w14:paraId="54ECB69C" w14:textId="77777777" w:rsidR="002656F2" w:rsidRPr="002656F2" w:rsidRDefault="002656F2" w:rsidP="002656F2">
      <w:pPr>
        <w:spacing w:after="0" w:line="240" w:lineRule="auto"/>
        <w:jc w:val="both"/>
        <w:rPr>
          <w:rFonts w:ascii="Arial" w:eastAsia="Times New Roman" w:hAnsi="Arial" w:cs="Arial"/>
          <w:color w:val="000000"/>
          <w:sz w:val="18"/>
          <w:szCs w:val="18"/>
          <w:lang w:eastAsia="es-ES"/>
        </w:rPr>
      </w:pPr>
      <w:r w:rsidRPr="002656F2">
        <w:rPr>
          <w:rFonts w:ascii="Segoe UI" w:eastAsia="Times New Roman" w:hAnsi="Segoe UI" w:cs="Segoe UI"/>
          <w:color w:val="000000"/>
          <w:sz w:val="18"/>
          <w:szCs w:val="18"/>
          <w:lang w:val="es-CO" w:eastAsia="es-ES"/>
        </w:rPr>
        <w:t> </w:t>
      </w:r>
    </w:p>
    <w:p w14:paraId="182659B6" w14:textId="77777777" w:rsidR="002656F2" w:rsidRPr="002656F2" w:rsidRDefault="002656F2" w:rsidP="002656F2">
      <w:pPr>
        <w:spacing w:after="0" w:line="240" w:lineRule="auto"/>
        <w:jc w:val="both"/>
        <w:rPr>
          <w:rFonts w:ascii="Arial" w:eastAsia="Times New Roman" w:hAnsi="Arial" w:cs="Arial"/>
          <w:color w:val="000000"/>
          <w:sz w:val="18"/>
          <w:szCs w:val="18"/>
          <w:lang w:eastAsia="es-ES"/>
        </w:rPr>
      </w:pPr>
      <w:r w:rsidRPr="002656F2">
        <w:rPr>
          <w:rFonts w:ascii="Segoe UI" w:eastAsia="Times New Roman" w:hAnsi="Segoe UI" w:cs="Segoe UI"/>
          <w:color w:val="000000"/>
          <w:sz w:val="18"/>
          <w:szCs w:val="18"/>
          <w:lang w:val="es-CO" w:eastAsia="es-ES"/>
        </w:rPr>
        <w:t>Cordial saludo,</w:t>
      </w:r>
    </w:p>
    <w:p w14:paraId="124C6932" w14:textId="77777777" w:rsidR="002656F2" w:rsidRPr="002656F2" w:rsidRDefault="002656F2" w:rsidP="002656F2">
      <w:pPr>
        <w:spacing w:after="0" w:line="240" w:lineRule="auto"/>
        <w:jc w:val="both"/>
        <w:rPr>
          <w:rFonts w:ascii="Arial" w:eastAsia="Times New Roman" w:hAnsi="Arial" w:cs="Arial"/>
          <w:color w:val="000000"/>
          <w:sz w:val="18"/>
          <w:szCs w:val="18"/>
          <w:lang w:eastAsia="es-ES"/>
        </w:rPr>
      </w:pPr>
      <w:r w:rsidRPr="002656F2">
        <w:rPr>
          <w:rFonts w:ascii="Segoe UI" w:eastAsia="Times New Roman" w:hAnsi="Segoe UI" w:cs="Segoe UI"/>
          <w:color w:val="000000"/>
          <w:sz w:val="18"/>
          <w:szCs w:val="18"/>
          <w:lang w:val="es-CO" w:eastAsia="es-ES"/>
        </w:rPr>
        <w:t> </w:t>
      </w:r>
    </w:p>
    <w:p w14:paraId="186C60FC" w14:textId="77777777" w:rsidR="002656F2" w:rsidRPr="002656F2" w:rsidRDefault="002656F2" w:rsidP="002656F2">
      <w:pPr>
        <w:spacing w:after="0" w:line="240" w:lineRule="auto"/>
        <w:jc w:val="both"/>
        <w:rPr>
          <w:rFonts w:ascii="Arial" w:eastAsia="Times New Roman" w:hAnsi="Arial" w:cs="Arial"/>
          <w:color w:val="000000"/>
          <w:sz w:val="18"/>
          <w:szCs w:val="18"/>
          <w:lang w:eastAsia="es-ES"/>
        </w:rPr>
      </w:pPr>
      <w:r w:rsidRPr="002656F2">
        <w:rPr>
          <w:rFonts w:ascii="Segoe UI" w:eastAsia="Times New Roman" w:hAnsi="Segoe UI" w:cs="Segoe UI"/>
          <w:color w:val="000000"/>
          <w:sz w:val="18"/>
          <w:szCs w:val="18"/>
          <w:lang w:val="es-CO" w:eastAsia="es-ES"/>
        </w:rPr>
        <w:t>De conformidad con el artículo 20 del Decreto 4048 de 2008, este Despacho está facultado para absolver las consultas escritas que se formulen sobre la interpretación y aplicación de las normas tributarias, aduaneras y cambiarias, en el marco de las competencias de la Dirección de Impuestos y Aduanas Nacionales. Por consiguiente, no corresponde a este Despacho, en ejercicio de las funciones descritas anteriormente, prestar asesoría específica para atender casos particulares, ni juzgar o calificar las decisiones tomadas por otras dependencias o entidades.</w:t>
      </w:r>
    </w:p>
    <w:p w14:paraId="10D15168" w14:textId="77777777" w:rsidR="002656F2" w:rsidRPr="002656F2" w:rsidRDefault="002656F2" w:rsidP="002656F2">
      <w:pPr>
        <w:spacing w:after="0" w:line="240" w:lineRule="auto"/>
        <w:jc w:val="both"/>
        <w:rPr>
          <w:rFonts w:ascii="Arial" w:eastAsia="Times New Roman" w:hAnsi="Arial" w:cs="Arial"/>
          <w:color w:val="000000"/>
          <w:sz w:val="18"/>
          <w:szCs w:val="18"/>
          <w:lang w:eastAsia="es-ES"/>
        </w:rPr>
      </w:pPr>
      <w:r w:rsidRPr="002656F2">
        <w:rPr>
          <w:rFonts w:ascii="Segoe UI" w:eastAsia="Times New Roman" w:hAnsi="Segoe UI" w:cs="Segoe UI"/>
          <w:color w:val="000000"/>
          <w:sz w:val="18"/>
          <w:szCs w:val="18"/>
          <w:lang w:val="es-CO" w:eastAsia="es-ES"/>
        </w:rPr>
        <w:t> </w:t>
      </w:r>
    </w:p>
    <w:p w14:paraId="492CBC8D" w14:textId="77777777" w:rsidR="002656F2" w:rsidRPr="002656F2" w:rsidRDefault="002656F2" w:rsidP="002656F2">
      <w:pPr>
        <w:spacing w:after="0" w:line="240" w:lineRule="auto"/>
        <w:jc w:val="both"/>
        <w:rPr>
          <w:rFonts w:ascii="Arial" w:eastAsia="Times New Roman" w:hAnsi="Arial" w:cs="Arial"/>
          <w:color w:val="000000"/>
          <w:sz w:val="18"/>
          <w:szCs w:val="18"/>
          <w:lang w:eastAsia="es-ES"/>
        </w:rPr>
      </w:pPr>
      <w:r w:rsidRPr="002656F2">
        <w:rPr>
          <w:rFonts w:ascii="Segoe UI" w:eastAsia="Times New Roman" w:hAnsi="Segoe UI" w:cs="Segoe UI"/>
          <w:color w:val="000000"/>
          <w:sz w:val="18"/>
          <w:szCs w:val="18"/>
          <w:lang w:val="es-CO" w:eastAsia="es-ES"/>
        </w:rPr>
        <w:t>Mediante el radicado de la referencia, el peticionario consulta sobre cuándo queda en firme una declaración (según los antecedentes, de IVA tercer cuatrimestre año 2016, presentada oportunamente) que fue corregida con ocasión de la respuesta al emplazamiento para corregir, dentro del mes siguiente a su notificación, el cual fue notificado dentro los dos años siguientes a su presentación, y que posteriormente es objeto de una inspección tributaria en donde se profiere auto de archivo.</w:t>
      </w:r>
    </w:p>
    <w:p w14:paraId="544A48C9" w14:textId="77777777" w:rsidR="002656F2" w:rsidRPr="002656F2" w:rsidRDefault="002656F2" w:rsidP="002656F2">
      <w:pPr>
        <w:spacing w:after="0" w:line="240" w:lineRule="auto"/>
        <w:jc w:val="both"/>
        <w:rPr>
          <w:rFonts w:ascii="Arial" w:eastAsia="Times New Roman" w:hAnsi="Arial" w:cs="Arial"/>
          <w:color w:val="000000"/>
          <w:sz w:val="18"/>
          <w:szCs w:val="18"/>
          <w:lang w:eastAsia="es-ES"/>
        </w:rPr>
      </w:pPr>
      <w:r w:rsidRPr="002656F2">
        <w:rPr>
          <w:rFonts w:ascii="Segoe UI" w:eastAsia="Times New Roman" w:hAnsi="Segoe UI" w:cs="Segoe UI"/>
          <w:color w:val="000000"/>
          <w:sz w:val="18"/>
          <w:szCs w:val="18"/>
          <w:lang w:val="es-CO" w:eastAsia="es-ES"/>
        </w:rPr>
        <w:t> </w:t>
      </w:r>
    </w:p>
    <w:p w14:paraId="40D71F83" w14:textId="77777777" w:rsidR="002656F2" w:rsidRPr="002656F2" w:rsidRDefault="002656F2" w:rsidP="002656F2">
      <w:pPr>
        <w:spacing w:after="0" w:line="240" w:lineRule="auto"/>
        <w:jc w:val="both"/>
        <w:rPr>
          <w:rFonts w:ascii="Arial" w:eastAsia="Times New Roman" w:hAnsi="Arial" w:cs="Arial"/>
          <w:color w:val="000000"/>
          <w:sz w:val="18"/>
          <w:szCs w:val="18"/>
          <w:lang w:eastAsia="es-ES"/>
        </w:rPr>
      </w:pPr>
      <w:r w:rsidRPr="002656F2">
        <w:rPr>
          <w:rFonts w:ascii="Segoe UI" w:eastAsia="Times New Roman" w:hAnsi="Segoe UI" w:cs="Segoe UI"/>
          <w:color w:val="000000"/>
          <w:sz w:val="18"/>
          <w:szCs w:val="18"/>
          <w:lang w:val="es-CO" w:eastAsia="es-ES"/>
        </w:rPr>
        <w:t>También pregunta sobre la validez jurídica de la declaración de corrección, presentada con posterioridad al término previsto en el inciso 1 del </w:t>
      </w:r>
      <w:hyperlink r:id="rId9" w:tooltip="Estatuto Tributario CETA" w:history="1">
        <w:r w:rsidRPr="002656F2">
          <w:rPr>
            <w:rFonts w:ascii="Segoe UI" w:eastAsia="Times New Roman" w:hAnsi="Segoe UI" w:cs="Segoe UI"/>
            <w:color w:val="0089E1"/>
            <w:sz w:val="18"/>
            <w:szCs w:val="18"/>
            <w:lang w:val="es-CO" w:eastAsia="es-ES"/>
          </w:rPr>
          <w:t>artículo 588</w:t>
        </w:r>
      </w:hyperlink>
      <w:r w:rsidRPr="002656F2">
        <w:rPr>
          <w:rFonts w:ascii="Segoe UI" w:eastAsia="Times New Roman" w:hAnsi="Segoe UI" w:cs="Segoe UI"/>
          <w:color w:val="000000"/>
          <w:sz w:val="18"/>
          <w:szCs w:val="18"/>
          <w:lang w:val="es-CO" w:eastAsia="es-ES"/>
        </w:rPr>
        <w:t> del Estatuto Tributario, antes de la modificación introducida por el artículo 107 de la Ley 2010 de 2019, y por fuera del término previsto para dar respuesta al emplazamiento para corregir.</w:t>
      </w:r>
    </w:p>
    <w:p w14:paraId="17E0ABED" w14:textId="77777777" w:rsidR="002656F2" w:rsidRPr="002656F2" w:rsidRDefault="002656F2" w:rsidP="002656F2">
      <w:pPr>
        <w:spacing w:after="0" w:line="240" w:lineRule="auto"/>
        <w:jc w:val="both"/>
        <w:rPr>
          <w:rFonts w:ascii="Arial" w:eastAsia="Times New Roman" w:hAnsi="Arial" w:cs="Arial"/>
          <w:color w:val="000000"/>
          <w:sz w:val="18"/>
          <w:szCs w:val="18"/>
          <w:lang w:eastAsia="es-ES"/>
        </w:rPr>
      </w:pPr>
      <w:r w:rsidRPr="002656F2">
        <w:rPr>
          <w:rFonts w:ascii="Segoe UI" w:eastAsia="Times New Roman" w:hAnsi="Segoe UI" w:cs="Segoe UI"/>
          <w:color w:val="000000"/>
          <w:sz w:val="18"/>
          <w:szCs w:val="18"/>
          <w:lang w:val="es-CO" w:eastAsia="es-ES"/>
        </w:rPr>
        <w:t> </w:t>
      </w:r>
    </w:p>
    <w:p w14:paraId="21305394" w14:textId="77777777" w:rsidR="002656F2" w:rsidRPr="002656F2" w:rsidRDefault="002656F2" w:rsidP="002656F2">
      <w:pPr>
        <w:spacing w:after="0" w:line="240" w:lineRule="auto"/>
        <w:jc w:val="both"/>
        <w:rPr>
          <w:rFonts w:ascii="Arial" w:eastAsia="Times New Roman" w:hAnsi="Arial" w:cs="Arial"/>
          <w:color w:val="000000"/>
          <w:sz w:val="18"/>
          <w:szCs w:val="18"/>
          <w:lang w:eastAsia="es-ES"/>
        </w:rPr>
      </w:pPr>
      <w:r w:rsidRPr="002656F2">
        <w:rPr>
          <w:rFonts w:ascii="Segoe UI" w:eastAsia="Times New Roman" w:hAnsi="Segoe UI" w:cs="Segoe UI"/>
          <w:color w:val="000000"/>
          <w:sz w:val="18"/>
          <w:szCs w:val="18"/>
          <w:lang w:val="es-CO" w:eastAsia="es-ES"/>
        </w:rPr>
        <w:t>Sobre el particular, las consideraciones de este Despacho son las siguientes.</w:t>
      </w:r>
    </w:p>
    <w:p w14:paraId="56031C3F" w14:textId="77777777" w:rsidR="002656F2" w:rsidRPr="002656F2" w:rsidRDefault="002656F2" w:rsidP="002656F2">
      <w:pPr>
        <w:spacing w:after="0" w:line="240" w:lineRule="auto"/>
        <w:jc w:val="both"/>
        <w:rPr>
          <w:rFonts w:ascii="Arial" w:eastAsia="Times New Roman" w:hAnsi="Arial" w:cs="Arial"/>
          <w:color w:val="000000"/>
          <w:sz w:val="18"/>
          <w:szCs w:val="18"/>
          <w:lang w:eastAsia="es-ES"/>
        </w:rPr>
      </w:pPr>
      <w:r w:rsidRPr="002656F2">
        <w:rPr>
          <w:rFonts w:ascii="Segoe UI" w:eastAsia="Times New Roman" w:hAnsi="Segoe UI" w:cs="Segoe UI"/>
          <w:color w:val="000000"/>
          <w:sz w:val="18"/>
          <w:szCs w:val="18"/>
          <w:lang w:val="es-CO" w:eastAsia="es-ES"/>
        </w:rPr>
        <w:t> </w:t>
      </w:r>
    </w:p>
    <w:p w14:paraId="505F81AA" w14:textId="77777777" w:rsidR="002656F2" w:rsidRPr="002656F2" w:rsidRDefault="002656F2" w:rsidP="002656F2">
      <w:pPr>
        <w:spacing w:after="0" w:line="240" w:lineRule="auto"/>
        <w:jc w:val="both"/>
        <w:rPr>
          <w:rFonts w:ascii="Arial" w:eastAsia="Times New Roman" w:hAnsi="Arial" w:cs="Arial"/>
          <w:color w:val="000000"/>
          <w:sz w:val="18"/>
          <w:szCs w:val="18"/>
          <w:lang w:eastAsia="es-ES"/>
        </w:rPr>
      </w:pPr>
      <w:r w:rsidRPr="002656F2">
        <w:rPr>
          <w:rFonts w:ascii="Segoe UI" w:eastAsia="Times New Roman" w:hAnsi="Segoe UI" w:cs="Segoe UI"/>
          <w:color w:val="000000"/>
          <w:sz w:val="18"/>
          <w:szCs w:val="18"/>
          <w:lang w:val="es-CO" w:eastAsia="es-ES"/>
        </w:rPr>
        <w:t>Lo primero que se debe precisar es que la competencia atribuida a este Despacho, en virtud de lo dispuesto en el Decreto 4048 de 2008, </w:t>
      </w:r>
      <w:r w:rsidRPr="002656F2">
        <w:rPr>
          <w:rFonts w:ascii="Segoe UI" w:eastAsia="Times New Roman" w:hAnsi="Segoe UI" w:cs="Segoe UI"/>
          <w:color w:val="000000"/>
          <w:sz w:val="18"/>
          <w:szCs w:val="18"/>
          <w:u w:val="single"/>
          <w:lang w:val="es-CO" w:eastAsia="es-ES"/>
        </w:rPr>
        <w:t>no</w:t>
      </w:r>
      <w:r w:rsidRPr="002656F2">
        <w:rPr>
          <w:rFonts w:ascii="Segoe UI" w:eastAsia="Times New Roman" w:hAnsi="Segoe UI" w:cs="Segoe UI"/>
          <w:color w:val="000000"/>
          <w:sz w:val="18"/>
          <w:szCs w:val="18"/>
          <w:lang w:val="es-CO" w:eastAsia="es-ES"/>
        </w:rPr>
        <w:t> está dada </w:t>
      </w:r>
      <w:r w:rsidRPr="002656F2">
        <w:rPr>
          <w:rFonts w:ascii="Segoe UI" w:eastAsia="Times New Roman" w:hAnsi="Segoe UI" w:cs="Segoe UI"/>
          <w:i/>
          <w:iCs/>
          <w:color w:val="000000"/>
          <w:sz w:val="18"/>
          <w:szCs w:val="18"/>
          <w:lang w:val="es-CO" w:eastAsia="es-ES"/>
        </w:rPr>
        <w:t>(i) </w:t>
      </w:r>
      <w:r w:rsidRPr="002656F2">
        <w:rPr>
          <w:rFonts w:ascii="Segoe UI" w:eastAsia="Times New Roman" w:hAnsi="Segoe UI" w:cs="Segoe UI"/>
          <w:color w:val="000000"/>
          <w:sz w:val="18"/>
          <w:szCs w:val="18"/>
          <w:lang w:val="es-CO" w:eastAsia="es-ES"/>
        </w:rPr>
        <w:t>para pronunciarse sobre situaciones de carácter particular ni prestar asesoría específica, ni </w:t>
      </w:r>
      <w:r w:rsidRPr="002656F2">
        <w:rPr>
          <w:rFonts w:ascii="Segoe UI" w:eastAsia="Times New Roman" w:hAnsi="Segoe UI" w:cs="Segoe UI"/>
          <w:i/>
          <w:iCs/>
          <w:color w:val="000000"/>
          <w:sz w:val="18"/>
          <w:szCs w:val="18"/>
          <w:lang w:val="es-CO" w:eastAsia="es-ES"/>
        </w:rPr>
        <w:t>(</w:t>
      </w:r>
      <w:proofErr w:type="spellStart"/>
      <w:r w:rsidRPr="002656F2">
        <w:rPr>
          <w:rFonts w:ascii="Segoe UI" w:eastAsia="Times New Roman" w:hAnsi="Segoe UI" w:cs="Segoe UI"/>
          <w:i/>
          <w:iCs/>
          <w:color w:val="000000"/>
          <w:sz w:val="18"/>
          <w:szCs w:val="18"/>
          <w:lang w:val="es-CO" w:eastAsia="es-ES"/>
        </w:rPr>
        <w:t>ii</w:t>
      </w:r>
      <w:proofErr w:type="spellEnd"/>
      <w:r w:rsidRPr="002656F2">
        <w:rPr>
          <w:rFonts w:ascii="Segoe UI" w:eastAsia="Times New Roman" w:hAnsi="Segoe UI" w:cs="Segoe UI"/>
          <w:i/>
          <w:iCs/>
          <w:color w:val="000000"/>
          <w:sz w:val="18"/>
          <w:szCs w:val="18"/>
          <w:lang w:val="es-CO" w:eastAsia="es-ES"/>
        </w:rPr>
        <w:t>) </w:t>
      </w:r>
      <w:r w:rsidRPr="002656F2">
        <w:rPr>
          <w:rFonts w:ascii="Segoe UI" w:eastAsia="Times New Roman" w:hAnsi="Segoe UI" w:cs="Segoe UI"/>
          <w:color w:val="000000"/>
          <w:sz w:val="18"/>
          <w:szCs w:val="18"/>
          <w:lang w:val="es-CO" w:eastAsia="es-ES"/>
        </w:rPr>
        <w:t xml:space="preserve">para dirimir asuntos que eventualmente estén en discusión ante la Administración Tributaria. Por tal razón, el presente análisis se hará sobre la posibilidad de realizar correcciones, </w:t>
      </w:r>
      <w:proofErr w:type="gramStart"/>
      <w:r w:rsidRPr="002656F2">
        <w:rPr>
          <w:rFonts w:ascii="Segoe UI" w:eastAsia="Times New Roman" w:hAnsi="Segoe UI" w:cs="Segoe UI"/>
          <w:color w:val="000000"/>
          <w:sz w:val="18"/>
          <w:szCs w:val="18"/>
          <w:lang w:val="es-CO" w:eastAsia="es-ES"/>
        </w:rPr>
        <w:t>de acuerdo a</w:t>
      </w:r>
      <w:proofErr w:type="gramEnd"/>
      <w:r w:rsidRPr="002656F2">
        <w:rPr>
          <w:rFonts w:ascii="Segoe UI" w:eastAsia="Times New Roman" w:hAnsi="Segoe UI" w:cs="Segoe UI"/>
          <w:color w:val="000000"/>
          <w:sz w:val="18"/>
          <w:szCs w:val="18"/>
          <w:lang w:val="es-CO" w:eastAsia="es-ES"/>
        </w:rPr>
        <w:t xml:space="preserve"> las normas que regulan las mismas y lo correspondiente al término de firmeza.</w:t>
      </w:r>
    </w:p>
    <w:p w14:paraId="7AFE3C5B" w14:textId="77777777" w:rsidR="002656F2" w:rsidRPr="002656F2" w:rsidRDefault="002656F2" w:rsidP="002656F2">
      <w:pPr>
        <w:spacing w:after="0" w:line="240" w:lineRule="auto"/>
        <w:jc w:val="both"/>
        <w:rPr>
          <w:rFonts w:ascii="Arial" w:eastAsia="Times New Roman" w:hAnsi="Arial" w:cs="Arial"/>
          <w:color w:val="000000"/>
          <w:sz w:val="18"/>
          <w:szCs w:val="18"/>
          <w:lang w:eastAsia="es-ES"/>
        </w:rPr>
      </w:pPr>
      <w:r w:rsidRPr="002656F2">
        <w:rPr>
          <w:rFonts w:ascii="Segoe UI" w:eastAsia="Times New Roman" w:hAnsi="Segoe UI" w:cs="Segoe UI"/>
          <w:color w:val="000000"/>
          <w:sz w:val="18"/>
          <w:szCs w:val="18"/>
          <w:lang w:val="es-CO" w:eastAsia="es-ES"/>
        </w:rPr>
        <w:t> </w:t>
      </w:r>
    </w:p>
    <w:p w14:paraId="065E7AF4" w14:textId="77777777" w:rsidR="002656F2" w:rsidRPr="002656F2" w:rsidRDefault="002656F2" w:rsidP="002656F2">
      <w:pPr>
        <w:spacing w:after="0" w:line="240" w:lineRule="auto"/>
        <w:jc w:val="both"/>
        <w:rPr>
          <w:rFonts w:ascii="Arial" w:eastAsia="Times New Roman" w:hAnsi="Arial" w:cs="Arial"/>
          <w:color w:val="000000"/>
          <w:sz w:val="18"/>
          <w:szCs w:val="18"/>
          <w:lang w:eastAsia="es-ES"/>
        </w:rPr>
      </w:pPr>
      <w:r w:rsidRPr="002656F2">
        <w:rPr>
          <w:rFonts w:ascii="Segoe UI" w:eastAsia="Times New Roman" w:hAnsi="Segoe UI" w:cs="Segoe UI"/>
          <w:color w:val="000000"/>
          <w:sz w:val="18"/>
          <w:szCs w:val="18"/>
          <w:lang w:val="es-CO" w:eastAsia="es-ES"/>
        </w:rPr>
        <w:t>En ese sentido es preciso señalar que, frente a la posibilidad de corregir las declaraciones tributarias, entendida como la modificación de la inicialmente presentada, es necesario distinguir entre la corrección voluntaria de las declaraciones (consagrada en los artículos </w:t>
      </w:r>
      <w:hyperlink r:id="rId10" w:tooltip="Estatuto Tributario CETA" w:history="1">
        <w:r w:rsidRPr="002656F2">
          <w:rPr>
            <w:rFonts w:ascii="Segoe UI" w:eastAsia="Times New Roman" w:hAnsi="Segoe UI" w:cs="Segoe UI"/>
            <w:color w:val="0089E1"/>
            <w:sz w:val="18"/>
            <w:szCs w:val="18"/>
            <w:lang w:val="es-CO" w:eastAsia="es-ES"/>
          </w:rPr>
          <w:t>588</w:t>
        </w:r>
      </w:hyperlink>
      <w:r w:rsidRPr="002656F2">
        <w:rPr>
          <w:rFonts w:ascii="Segoe UI" w:eastAsia="Times New Roman" w:hAnsi="Segoe UI" w:cs="Segoe UI"/>
          <w:color w:val="000000"/>
          <w:sz w:val="18"/>
          <w:szCs w:val="18"/>
          <w:lang w:val="es-CO" w:eastAsia="es-ES"/>
        </w:rPr>
        <w:t> y </w:t>
      </w:r>
      <w:hyperlink r:id="rId11" w:tooltip="Estatuto Tributario CETA" w:history="1">
        <w:r w:rsidRPr="002656F2">
          <w:rPr>
            <w:rFonts w:ascii="Segoe UI" w:eastAsia="Times New Roman" w:hAnsi="Segoe UI" w:cs="Segoe UI"/>
            <w:color w:val="0089E1"/>
            <w:sz w:val="18"/>
            <w:szCs w:val="18"/>
            <w:lang w:val="es-CO" w:eastAsia="es-ES"/>
          </w:rPr>
          <w:t>589</w:t>
        </w:r>
      </w:hyperlink>
      <w:r w:rsidRPr="002656F2">
        <w:rPr>
          <w:rFonts w:ascii="Segoe UI" w:eastAsia="Times New Roman" w:hAnsi="Segoe UI" w:cs="Segoe UI"/>
          <w:color w:val="000000"/>
          <w:sz w:val="18"/>
          <w:szCs w:val="18"/>
          <w:lang w:val="es-CO" w:eastAsia="es-ES"/>
        </w:rPr>
        <w:t> del Estatuto Tributario) y la corrección provocada por la Administración, en los términos de lo dispuesto en los artículos </w:t>
      </w:r>
      <w:hyperlink r:id="rId12" w:tooltip="Estatuto Tributario CETA" w:history="1">
        <w:r w:rsidRPr="002656F2">
          <w:rPr>
            <w:rFonts w:ascii="Segoe UI" w:eastAsia="Times New Roman" w:hAnsi="Segoe UI" w:cs="Segoe UI"/>
            <w:color w:val="0089E1"/>
            <w:sz w:val="18"/>
            <w:szCs w:val="18"/>
            <w:lang w:val="es-CO" w:eastAsia="es-ES"/>
          </w:rPr>
          <w:t>709</w:t>
        </w:r>
      </w:hyperlink>
      <w:r w:rsidRPr="002656F2">
        <w:rPr>
          <w:rFonts w:ascii="Segoe UI" w:eastAsia="Times New Roman" w:hAnsi="Segoe UI" w:cs="Segoe UI"/>
          <w:color w:val="000000"/>
          <w:sz w:val="18"/>
          <w:szCs w:val="18"/>
          <w:lang w:val="es-CO" w:eastAsia="es-ES"/>
        </w:rPr>
        <w:t> y </w:t>
      </w:r>
      <w:hyperlink r:id="rId13" w:tooltip="Estatuto Tributario CETA" w:history="1">
        <w:r w:rsidRPr="002656F2">
          <w:rPr>
            <w:rFonts w:ascii="Segoe UI" w:eastAsia="Times New Roman" w:hAnsi="Segoe UI" w:cs="Segoe UI"/>
            <w:color w:val="0089E1"/>
            <w:sz w:val="18"/>
            <w:szCs w:val="18"/>
            <w:lang w:val="es-CO" w:eastAsia="es-ES"/>
          </w:rPr>
          <w:t>713</w:t>
        </w:r>
      </w:hyperlink>
      <w:r w:rsidRPr="002656F2">
        <w:rPr>
          <w:rFonts w:ascii="Segoe UI" w:eastAsia="Times New Roman" w:hAnsi="Segoe UI" w:cs="Segoe UI"/>
          <w:color w:val="000000"/>
          <w:sz w:val="18"/>
          <w:szCs w:val="18"/>
          <w:lang w:val="es-CO" w:eastAsia="es-ES"/>
        </w:rPr>
        <w:t> del mismo ordenamiento.</w:t>
      </w:r>
    </w:p>
    <w:p w14:paraId="719F9AE9" w14:textId="77777777" w:rsidR="002656F2" w:rsidRPr="002656F2" w:rsidRDefault="002656F2" w:rsidP="002656F2">
      <w:pPr>
        <w:spacing w:after="0" w:line="240" w:lineRule="auto"/>
        <w:jc w:val="both"/>
        <w:rPr>
          <w:rFonts w:ascii="Arial" w:eastAsia="Times New Roman" w:hAnsi="Arial" w:cs="Arial"/>
          <w:color w:val="000000"/>
          <w:sz w:val="18"/>
          <w:szCs w:val="18"/>
          <w:lang w:eastAsia="es-ES"/>
        </w:rPr>
      </w:pPr>
      <w:r w:rsidRPr="002656F2">
        <w:rPr>
          <w:rFonts w:ascii="Segoe UI" w:eastAsia="Times New Roman" w:hAnsi="Segoe UI" w:cs="Segoe UI"/>
          <w:color w:val="000000"/>
          <w:sz w:val="18"/>
          <w:szCs w:val="18"/>
          <w:lang w:val="es-CO" w:eastAsia="es-ES"/>
        </w:rPr>
        <w:t> </w:t>
      </w:r>
    </w:p>
    <w:p w14:paraId="1306C64C" w14:textId="77777777" w:rsidR="002656F2" w:rsidRPr="002656F2" w:rsidRDefault="002656F2" w:rsidP="002656F2">
      <w:pPr>
        <w:spacing w:after="0" w:line="240" w:lineRule="auto"/>
        <w:jc w:val="both"/>
        <w:rPr>
          <w:rFonts w:ascii="Arial" w:eastAsia="Times New Roman" w:hAnsi="Arial" w:cs="Arial"/>
          <w:color w:val="000000"/>
          <w:sz w:val="18"/>
          <w:szCs w:val="18"/>
          <w:lang w:eastAsia="es-ES"/>
        </w:rPr>
      </w:pPr>
      <w:r w:rsidRPr="002656F2">
        <w:rPr>
          <w:rFonts w:ascii="Segoe UI" w:eastAsia="Times New Roman" w:hAnsi="Segoe UI" w:cs="Segoe UI"/>
          <w:color w:val="000000"/>
          <w:sz w:val="18"/>
          <w:szCs w:val="18"/>
          <w:lang w:val="es-CO" w:eastAsia="es-ES"/>
        </w:rPr>
        <w:lastRenderedPageBreak/>
        <w:t>Este tema ha sido materia de análisis por este Despacho, destacándose los Conceptos 077259 del 11 de septiembre de 2006 y 058135 del 13 de septiembre de 2012. El primero de estos concluyó:</w:t>
      </w:r>
    </w:p>
    <w:p w14:paraId="05F20996" w14:textId="77777777" w:rsidR="002656F2" w:rsidRPr="002656F2" w:rsidRDefault="002656F2" w:rsidP="002656F2">
      <w:pPr>
        <w:spacing w:after="0" w:line="240" w:lineRule="auto"/>
        <w:jc w:val="both"/>
        <w:rPr>
          <w:rFonts w:ascii="Arial" w:eastAsia="Times New Roman" w:hAnsi="Arial" w:cs="Arial"/>
          <w:color w:val="000000"/>
          <w:sz w:val="18"/>
          <w:szCs w:val="18"/>
          <w:lang w:eastAsia="es-ES"/>
        </w:rPr>
      </w:pPr>
      <w:r w:rsidRPr="002656F2">
        <w:rPr>
          <w:rFonts w:ascii="Segoe UI" w:eastAsia="Times New Roman" w:hAnsi="Segoe UI" w:cs="Segoe UI"/>
          <w:i/>
          <w:iCs/>
          <w:color w:val="000000"/>
          <w:sz w:val="18"/>
          <w:szCs w:val="18"/>
          <w:lang w:val="es-CO" w:eastAsia="es-ES"/>
        </w:rPr>
        <w:t> </w:t>
      </w:r>
    </w:p>
    <w:p w14:paraId="316666E8" w14:textId="77777777" w:rsidR="002656F2" w:rsidRPr="002656F2" w:rsidRDefault="002656F2" w:rsidP="002656F2">
      <w:pPr>
        <w:spacing w:after="0" w:line="240" w:lineRule="auto"/>
        <w:ind w:left="284"/>
        <w:jc w:val="both"/>
        <w:rPr>
          <w:rFonts w:ascii="Arial" w:eastAsia="Times New Roman" w:hAnsi="Arial" w:cs="Arial"/>
          <w:color w:val="000000"/>
          <w:sz w:val="18"/>
          <w:szCs w:val="18"/>
          <w:lang w:eastAsia="es-ES"/>
        </w:rPr>
      </w:pPr>
      <w:r w:rsidRPr="002656F2">
        <w:rPr>
          <w:rFonts w:ascii="Segoe UI" w:eastAsia="Times New Roman" w:hAnsi="Segoe UI" w:cs="Segoe UI"/>
          <w:i/>
          <w:iCs/>
          <w:color w:val="000000"/>
          <w:sz w:val="18"/>
          <w:szCs w:val="18"/>
          <w:lang w:val="es-CO" w:eastAsia="es-ES"/>
        </w:rPr>
        <w:t>“Es de anotar que la facultad para corregir voluntariamente la declaración está limitada, en los términos del </w:t>
      </w:r>
      <w:hyperlink r:id="rId14" w:tooltip="Estatuto Tributario CETA" w:history="1">
        <w:r w:rsidRPr="002656F2">
          <w:rPr>
            <w:rFonts w:ascii="Segoe UI" w:eastAsia="Times New Roman" w:hAnsi="Segoe UI" w:cs="Segoe UI"/>
            <w:i/>
            <w:iCs/>
            <w:color w:val="0089E1"/>
            <w:sz w:val="18"/>
            <w:szCs w:val="18"/>
            <w:lang w:val="es-CO" w:eastAsia="es-ES"/>
          </w:rPr>
          <w:t>artículo 588</w:t>
        </w:r>
      </w:hyperlink>
      <w:r w:rsidRPr="002656F2">
        <w:rPr>
          <w:rFonts w:ascii="Segoe UI" w:eastAsia="Times New Roman" w:hAnsi="Segoe UI" w:cs="Segoe UI"/>
          <w:i/>
          <w:iCs/>
          <w:color w:val="000000"/>
          <w:sz w:val="18"/>
          <w:szCs w:val="18"/>
          <w:lang w:val="es-CO" w:eastAsia="es-ES"/>
        </w:rPr>
        <w:t>, dado que la misma debe ejercerse por parte de los contribuyentes </w:t>
      </w:r>
      <w:r w:rsidRPr="002656F2">
        <w:rPr>
          <w:rFonts w:ascii="Segoe UI" w:eastAsia="Times New Roman" w:hAnsi="Segoe UI" w:cs="Segoe UI"/>
          <w:b/>
          <w:bCs/>
          <w:i/>
          <w:iCs/>
          <w:color w:val="000000"/>
          <w:sz w:val="18"/>
          <w:szCs w:val="18"/>
          <w:u w:val="single"/>
          <w:lang w:val="es-CO" w:eastAsia="es-ES"/>
        </w:rPr>
        <w:t>antes de que se haya notificado requerimiento especial</w:t>
      </w:r>
      <w:r w:rsidRPr="002656F2">
        <w:rPr>
          <w:rFonts w:ascii="Segoe UI" w:eastAsia="Times New Roman" w:hAnsi="Segoe UI" w:cs="Segoe UI"/>
          <w:b/>
          <w:bCs/>
          <w:i/>
          <w:iCs/>
          <w:color w:val="000000"/>
          <w:sz w:val="18"/>
          <w:szCs w:val="18"/>
          <w:lang w:val="es-CO" w:eastAsia="es-ES"/>
        </w:rPr>
        <w:t> </w:t>
      </w:r>
      <w:r w:rsidRPr="002656F2">
        <w:rPr>
          <w:rFonts w:ascii="Segoe UI" w:eastAsia="Times New Roman" w:hAnsi="Segoe UI" w:cs="Segoe UI"/>
          <w:i/>
          <w:iCs/>
          <w:color w:val="000000"/>
          <w:sz w:val="18"/>
          <w:szCs w:val="18"/>
          <w:lang w:val="es-CO" w:eastAsia="es-ES"/>
        </w:rPr>
        <w:t>en relación con la declaración tributaria que se corrige.</w:t>
      </w:r>
    </w:p>
    <w:p w14:paraId="40869A96" w14:textId="77777777" w:rsidR="002656F2" w:rsidRPr="002656F2" w:rsidRDefault="002656F2" w:rsidP="002656F2">
      <w:pPr>
        <w:spacing w:after="0" w:line="240" w:lineRule="auto"/>
        <w:ind w:left="284"/>
        <w:jc w:val="both"/>
        <w:rPr>
          <w:rFonts w:ascii="Arial" w:eastAsia="Times New Roman" w:hAnsi="Arial" w:cs="Arial"/>
          <w:color w:val="000000"/>
          <w:sz w:val="18"/>
          <w:szCs w:val="18"/>
          <w:lang w:eastAsia="es-ES"/>
        </w:rPr>
      </w:pPr>
      <w:r w:rsidRPr="002656F2">
        <w:rPr>
          <w:rFonts w:ascii="Segoe UI" w:eastAsia="Times New Roman" w:hAnsi="Segoe UI" w:cs="Segoe UI"/>
          <w:i/>
          <w:iCs/>
          <w:color w:val="000000"/>
          <w:sz w:val="18"/>
          <w:szCs w:val="18"/>
          <w:lang w:val="es-CO" w:eastAsia="es-ES"/>
        </w:rPr>
        <w:t> </w:t>
      </w:r>
    </w:p>
    <w:p w14:paraId="06E55133" w14:textId="77777777" w:rsidR="002656F2" w:rsidRPr="002656F2" w:rsidRDefault="002656F2" w:rsidP="002656F2">
      <w:pPr>
        <w:spacing w:after="0" w:line="240" w:lineRule="auto"/>
        <w:ind w:left="284"/>
        <w:jc w:val="both"/>
        <w:rPr>
          <w:rFonts w:ascii="Arial" w:eastAsia="Times New Roman" w:hAnsi="Arial" w:cs="Arial"/>
          <w:color w:val="000000"/>
          <w:sz w:val="18"/>
          <w:szCs w:val="18"/>
          <w:lang w:eastAsia="es-ES"/>
        </w:rPr>
      </w:pPr>
      <w:r w:rsidRPr="002656F2">
        <w:rPr>
          <w:rFonts w:ascii="Segoe UI" w:eastAsia="Times New Roman" w:hAnsi="Segoe UI" w:cs="Segoe UI"/>
          <w:i/>
          <w:iCs/>
          <w:color w:val="000000"/>
          <w:sz w:val="18"/>
          <w:szCs w:val="18"/>
          <w:lang w:val="es-CO" w:eastAsia="es-ES"/>
        </w:rPr>
        <w:t>En lo que se refiere a las correcciones provocadas por la administración, el Título IV del Libro Quinto del Estatuto Tributario, al regular la facultad de la administración de modificar la liquidación privada mediante liquidación de revisión, </w:t>
      </w:r>
      <w:r w:rsidRPr="002656F2">
        <w:rPr>
          <w:rFonts w:ascii="Segoe UI" w:eastAsia="Times New Roman" w:hAnsi="Segoe UI" w:cs="Segoe UI"/>
          <w:i/>
          <w:iCs/>
          <w:color w:val="000000"/>
          <w:sz w:val="18"/>
          <w:szCs w:val="18"/>
          <w:u w:val="single"/>
          <w:lang w:val="es-CO" w:eastAsia="es-ES"/>
        </w:rPr>
        <w:t>otorga la opción a los contribuyentes de acogerse a la determinación oficial del tributo, bien sea durante la actuación previa al acto definitivo de determinación o bien dentro del término para interponer el recurso contra el mismo.</w:t>
      </w:r>
    </w:p>
    <w:p w14:paraId="2668C9CD" w14:textId="77777777" w:rsidR="002656F2" w:rsidRPr="002656F2" w:rsidRDefault="002656F2" w:rsidP="002656F2">
      <w:pPr>
        <w:spacing w:after="0" w:line="240" w:lineRule="auto"/>
        <w:ind w:left="284"/>
        <w:jc w:val="both"/>
        <w:rPr>
          <w:rFonts w:ascii="Arial" w:eastAsia="Times New Roman" w:hAnsi="Arial" w:cs="Arial"/>
          <w:color w:val="000000"/>
          <w:sz w:val="18"/>
          <w:szCs w:val="18"/>
          <w:lang w:eastAsia="es-ES"/>
        </w:rPr>
      </w:pPr>
      <w:r w:rsidRPr="002656F2">
        <w:rPr>
          <w:rFonts w:ascii="Segoe UI" w:eastAsia="Times New Roman" w:hAnsi="Segoe UI" w:cs="Segoe UI"/>
          <w:color w:val="000000"/>
          <w:sz w:val="18"/>
          <w:szCs w:val="18"/>
          <w:lang w:val="es-CO" w:eastAsia="es-ES"/>
        </w:rPr>
        <w:t> </w:t>
      </w:r>
    </w:p>
    <w:p w14:paraId="1D1280C3" w14:textId="77777777" w:rsidR="002656F2" w:rsidRPr="002656F2" w:rsidRDefault="002656F2" w:rsidP="002656F2">
      <w:pPr>
        <w:spacing w:after="0" w:line="240" w:lineRule="auto"/>
        <w:ind w:left="284"/>
        <w:jc w:val="both"/>
        <w:rPr>
          <w:rFonts w:ascii="Arial" w:eastAsia="Times New Roman" w:hAnsi="Arial" w:cs="Arial"/>
          <w:color w:val="000000"/>
          <w:sz w:val="18"/>
          <w:szCs w:val="18"/>
          <w:lang w:eastAsia="es-ES"/>
        </w:rPr>
      </w:pPr>
      <w:r w:rsidRPr="002656F2">
        <w:rPr>
          <w:rFonts w:ascii="Segoe UI" w:eastAsia="Times New Roman" w:hAnsi="Segoe UI" w:cs="Segoe UI"/>
          <w:color w:val="000000"/>
          <w:sz w:val="18"/>
          <w:szCs w:val="18"/>
          <w:lang w:val="es-CO" w:eastAsia="es-ES"/>
        </w:rPr>
        <w:t>(…)</w:t>
      </w:r>
    </w:p>
    <w:p w14:paraId="69E270A9" w14:textId="77777777" w:rsidR="002656F2" w:rsidRPr="002656F2" w:rsidRDefault="002656F2" w:rsidP="002656F2">
      <w:pPr>
        <w:spacing w:after="0" w:line="240" w:lineRule="auto"/>
        <w:ind w:left="284"/>
        <w:jc w:val="both"/>
        <w:rPr>
          <w:rFonts w:ascii="Arial" w:eastAsia="Times New Roman" w:hAnsi="Arial" w:cs="Arial"/>
          <w:color w:val="000000"/>
          <w:sz w:val="18"/>
          <w:szCs w:val="18"/>
          <w:lang w:eastAsia="es-ES"/>
        </w:rPr>
      </w:pPr>
      <w:r w:rsidRPr="002656F2">
        <w:rPr>
          <w:rFonts w:ascii="Segoe UI" w:eastAsia="Times New Roman" w:hAnsi="Segoe UI" w:cs="Segoe UI"/>
          <w:i/>
          <w:iCs/>
          <w:color w:val="000000"/>
          <w:sz w:val="18"/>
          <w:szCs w:val="18"/>
          <w:lang w:val="es-CO" w:eastAsia="es-ES"/>
        </w:rPr>
        <w:t> </w:t>
      </w:r>
    </w:p>
    <w:p w14:paraId="2F08E999" w14:textId="77777777" w:rsidR="002656F2" w:rsidRPr="002656F2" w:rsidRDefault="002656F2" w:rsidP="002656F2">
      <w:pPr>
        <w:spacing w:after="0" w:line="240" w:lineRule="auto"/>
        <w:ind w:left="284"/>
        <w:jc w:val="both"/>
        <w:rPr>
          <w:rFonts w:ascii="Arial" w:eastAsia="Times New Roman" w:hAnsi="Arial" w:cs="Arial"/>
          <w:color w:val="000000"/>
          <w:sz w:val="18"/>
          <w:szCs w:val="18"/>
          <w:lang w:eastAsia="es-ES"/>
        </w:rPr>
      </w:pPr>
      <w:r w:rsidRPr="002656F2">
        <w:rPr>
          <w:rFonts w:ascii="Segoe UI" w:eastAsia="Times New Roman" w:hAnsi="Segoe UI" w:cs="Segoe UI"/>
          <w:i/>
          <w:iCs/>
          <w:color w:val="000000"/>
          <w:sz w:val="18"/>
          <w:szCs w:val="18"/>
          <w:lang w:val="es-CO" w:eastAsia="es-ES"/>
        </w:rPr>
        <w:t>Se observa entonces </w:t>
      </w:r>
      <w:r w:rsidRPr="002656F2">
        <w:rPr>
          <w:rFonts w:ascii="Segoe UI" w:eastAsia="Times New Roman" w:hAnsi="Segoe UI" w:cs="Segoe UI"/>
          <w:i/>
          <w:iCs/>
          <w:color w:val="000000"/>
          <w:sz w:val="18"/>
          <w:szCs w:val="18"/>
          <w:u w:val="single"/>
          <w:lang w:val="es-CO" w:eastAsia="es-ES"/>
        </w:rPr>
        <w:t>que el fundamento jurídico, así como el alcance y contenido de las correcciones autorizadas en los artículos </w:t>
      </w:r>
      <w:hyperlink r:id="rId15" w:tooltip="Estatuto Tributario CETA" w:history="1">
        <w:r w:rsidRPr="002656F2">
          <w:rPr>
            <w:rFonts w:ascii="Segoe UI" w:eastAsia="Times New Roman" w:hAnsi="Segoe UI" w:cs="Segoe UI"/>
            <w:i/>
            <w:iCs/>
            <w:color w:val="0089E1"/>
            <w:sz w:val="18"/>
            <w:szCs w:val="18"/>
            <w:lang w:val="es-CO" w:eastAsia="es-ES"/>
          </w:rPr>
          <w:t>588</w:t>
        </w:r>
      </w:hyperlink>
      <w:r w:rsidRPr="002656F2">
        <w:rPr>
          <w:rFonts w:ascii="Segoe UI" w:eastAsia="Times New Roman" w:hAnsi="Segoe UI" w:cs="Segoe UI"/>
          <w:i/>
          <w:iCs/>
          <w:color w:val="000000"/>
          <w:sz w:val="18"/>
          <w:szCs w:val="18"/>
          <w:u w:val="single"/>
          <w:lang w:val="es-CO" w:eastAsia="es-ES"/>
        </w:rPr>
        <w:t> y </w:t>
      </w:r>
      <w:hyperlink r:id="rId16" w:tooltip="Estatuto Tributario CETA" w:history="1">
        <w:r w:rsidRPr="002656F2">
          <w:rPr>
            <w:rFonts w:ascii="Segoe UI" w:eastAsia="Times New Roman" w:hAnsi="Segoe UI" w:cs="Segoe UI"/>
            <w:i/>
            <w:iCs/>
            <w:color w:val="0089E1"/>
            <w:sz w:val="18"/>
            <w:szCs w:val="18"/>
            <w:lang w:val="es-CO" w:eastAsia="es-ES"/>
          </w:rPr>
          <w:t>589</w:t>
        </w:r>
      </w:hyperlink>
      <w:r w:rsidRPr="002656F2">
        <w:rPr>
          <w:rFonts w:ascii="Segoe UI" w:eastAsia="Times New Roman" w:hAnsi="Segoe UI" w:cs="Segoe UI"/>
          <w:i/>
          <w:iCs/>
          <w:color w:val="000000"/>
          <w:sz w:val="18"/>
          <w:szCs w:val="18"/>
          <w:u w:val="single"/>
          <w:lang w:val="es-CO" w:eastAsia="es-ES"/>
        </w:rPr>
        <w:t> del Estatuto Tributario, contrasta frente al fundamento de las correcciones previstas en los artículos </w:t>
      </w:r>
      <w:hyperlink r:id="rId17" w:tooltip="Estatuto Tributario CETA" w:history="1">
        <w:r w:rsidRPr="002656F2">
          <w:rPr>
            <w:rFonts w:ascii="Segoe UI" w:eastAsia="Times New Roman" w:hAnsi="Segoe UI" w:cs="Segoe UI"/>
            <w:i/>
            <w:iCs/>
            <w:color w:val="0089E1"/>
            <w:sz w:val="18"/>
            <w:szCs w:val="18"/>
            <w:lang w:val="es-CO" w:eastAsia="es-ES"/>
          </w:rPr>
          <w:t>709</w:t>
        </w:r>
      </w:hyperlink>
      <w:r w:rsidRPr="002656F2">
        <w:rPr>
          <w:rFonts w:ascii="Segoe UI" w:eastAsia="Times New Roman" w:hAnsi="Segoe UI" w:cs="Segoe UI"/>
          <w:i/>
          <w:iCs/>
          <w:color w:val="000000"/>
          <w:sz w:val="18"/>
          <w:szCs w:val="18"/>
          <w:u w:val="single"/>
          <w:lang w:val="es-CO" w:eastAsia="es-ES"/>
        </w:rPr>
        <w:t> y </w:t>
      </w:r>
      <w:hyperlink r:id="rId18" w:tooltip="Estatuto Tributario CETA" w:history="1">
        <w:r w:rsidRPr="002656F2">
          <w:rPr>
            <w:rFonts w:ascii="Segoe UI" w:eastAsia="Times New Roman" w:hAnsi="Segoe UI" w:cs="Segoe UI"/>
            <w:i/>
            <w:iCs/>
            <w:color w:val="0089E1"/>
            <w:sz w:val="18"/>
            <w:szCs w:val="18"/>
            <w:lang w:val="es-CO" w:eastAsia="es-ES"/>
          </w:rPr>
          <w:t>713</w:t>
        </w:r>
      </w:hyperlink>
      <w:r w:rsidRPr="002656F2">
        <w:rPr>
          <w:rFonts w:ascii="Segoe UI" w:eastAsia="Times New Roman" w:hAnsi="Segoe UI" w:cs="Segoe UI"/>
          <w:i/>
          <w:iCs/>
          <w:color w:val="000000"/>
          <w:sz w:val="18"/>
          <w:szCs w:val="18"/>
          <w:u w:val="single"/>
          <w:lang w:val="es-CO" w:eastAsia="es-ES"/>
        </w:rPr>
        <w:t> </w:t>
      </w:r>
      <w:proofErr w:type="spellStart"/>
      <w:r w:rsidRPr="002656F2">
        <w:rPr>
          <w:rFonts w:ascii="Segoe UI" w:eastAsia="Times New Roman" w:hAnsi="Segoe UI" w:cs="Segoe UI"/>
          <w:i/>
          <w:iCs/>
          <w:color w:val="000000"/>
          <w:sz w:val="18"/>
          <w:szCs w:val="18"/>
          <w:u w:val="single"/>
          <w:lang w:val="es-CO" w:eastAsia="es-ES"/>
        </w:rPr>
        <w:t>ibídem</w:t>
      </w:r>
      <w:proofErr w:type="spellEnd"/>
      <w:r w:rsidRPr="002656F2">
        <w:rPr>
          <w:rFonts w:ascii="Segoe UI" w:eastAsia="Times New Roman" w:hAnsi="Segoe UI" w:cs="Segoe UI"/>
          <w:i/>
          <w:iCs/>
          <w:color w:val="000000"/>
          <w:sz w:val="18"/>
          <w:szCs w:val="18"/>
          <w:u w:val="single"/>
          <w:lang w:val="es-CO" w:eastAsia="es-ES"/>
        </w:rPr>
        <w:t>, ya que en las primeras el contribuyente está en libertad de corregir los diferentes factores determinantes de la obligación tributaria, mientras que en las segundas se limita única y exclusivamente al acatamiento total o parcial de los hechos planteados en la determinación oficial del tributo</w:t>
      </w:r>
      <w:r w:rsidRPr="002656F2">
        <w:rPr>
          <w:rFonts w:ascii="Segoe UI" w:eastAsia="Times New Roman" w:hAnsi="Segoe UI" w:cs="Segoe UI"/>
          <w:i/>
          <w:iCs/>
          <w:color w:val="000000"/>
          <w:sz w:val="18"/>
          <w:szCs w:val="18"/>
          <w:lang w:val="es-CO" w:eastAsia="es-ES"/>
        </w:rPr>
        <w:t>.</w:t>
      </w:r>
    </w:p>
    <w:p w14:paraId="03F66322" w14:textId="77777777" w:rsidR="002656F2" w:rsidRPr="002656F2" w:rsidRDefault="002656F2" w:rsidP="002656F2">
      <w:pPr>
        <w:spacing w:after="0" w:line="240" w:lineRule="auto"/>
        <w:ind w:left="284"/>
        <w:jc w:val="both"/>
        <w:rPr>
          <w:rFonts w:ascii="Arial" w:eastAsia="Times New Roman" w:hAnsi="Arial" w:cs="Arial"/>
          <w:color w:val="000000"/>
          <w:sz w:val="18"/>
          <w:szCs w:val="18"/>
          <w:lang w:eastAsia="es-ES"/>
        </w:rPr>
      </w:pPr>
      <w:r w:rsidRPr="002656F2">
        <w:rPr>
          <w:rFonts w:ascii="Segoe UI" w:eastAsia="Times New Roman" w:hAnsi="Segoe UI" w:cs="Segoe UI"/>
          <w:i/>
          <w:iCs/>
          <w:color w:val="000000"/>
          <w:sz w:val="18"/>
          <w:szCs w:val="18"/>
          <w:lang w:val="es-CO" w:eastAsia="es-ES"/>
        </w:rPr>
        <w:t> </w:t>
      </w:r>
    </w:p>
    <w:p w14:paraId="1E45CCF2" w14:textId="77777777" w:rsidR="002656F2" w:rsidRPr="002656F2" w:rsidRDefault="002656F2" w:rsidP="002656F2">
      <w:pPr>
        <w:spacing w:after="0" w:line="240" w:lineRule="auto"/>
        <w:ind w:left="284"/>
        <w:jc w:val="both"/>
        <w:rPr>
          <w:rFonts w:ascii="Arial" w:eastAsia="Times New Roman" w:hAnsi="Arial" w:cs="Arial"/>
          <w:color w:val="000000"/>
          <w:sz w:val="18"/>
          <w:szCs w:val="18"/>
          <w:lang w:eastAsia="es-ES"/>
        </w:rPr>
      </w:pPr>
      <w:r w:rsidRPr="002656F2">
        <w:rPr>
          <w:rFonts w:ascii="Segoe UI" w:eastAsia="Times New Roman" w:hAnsi="Segoe UI" w:cs="Segoe UI"/>
          <w:i/>
          <w:iCs/>
          <w:color w:val="000000"/>
          <w:sz w:val="18"/>
          <w:szCs w:val="18"/>
          <w:lang w:val="es-CO" w:eastAsia="es-ES"/>
        </w:rPr>
        <w:t>De lo anterior se concluye que la corrección provocada a que se alude en los artículos </w:t>
      </w:r>
      <w:hyperlink r:id="rId19" w:tooltip="Estatuto Tributario CETA" w:history="1">
        <w:r w:rsidRPr="002656F2">
          <w:rPr>
            <w:rFonts w:ascii="Segoe UI" w:eastAsia="Times New Roman" w:hAnsi="Segoe UI" w:cs="Segoe UI"/>
            <w:i/>
            <w:iCs/>
            <w:color w:val="0089E1"/>
            <w:sz w:val="18"/>
            <w:szCs w:val="18"/>
            <w:lang w:val="es-CO" w:eastAsia="es-ES"/>
          </w:rPr>
          <w:t>709</w:t>
        </w:r>
      </w:hyperlink>
      <w:r w:rsidRPr="002656F2">
        <w:rPr>
          <w:rFonts w:ascii="Segoe UI" w:eastAsia="Times New Roman" w:hAnsi="Segoe UI" w:cs="Segoe UI"/>
          <w:i/>
          <w:iCs/>
          <w:color w:val="000000"/>
          <w:sz w:val="18"/>
          <w:szCs w:val="18"/>
          <w:lang w:val="es-CO" w:eastAsia="es-ES"/>
        </w:rPr>
        <w:t> y </w:t>
      </w:r>
      <w:hyperlink r:id="rId20" w:tooltip="Estatuto Tributario CETA" w:history="1">
        <w:r w:rsidRPr="002656F2">
          <w:rPr>
            <w:rFonts w:ascii="Segoe UI" w:eastAsia="Times New Roman" w:hAnsi="Segoe UI" w:cs="Segoe UI"/>
            <w:i/>
            <w:iCs/>
            <w:color w:val="0089E1"/>
            <w:sz w:val="18"/>
            <w:szCs w:val="18"/>
            <w:lang w:val="es-CO" w:eastAsia="es-ES"/>
          </w:rPr>
          <w:t>713</w:t>
        </w:r>
      </w:hyperlink>
      <w:r w:rsidRPr="002656F2">
        <w:rPr>
          <w:rFonts w:ascii="Segoe UI" w:eastAsia="Times New Roman" w:hAnsi="Segoe UI" w:cs="Segoe UI"/>
          <w:i/>
          <w:iCs/>
          <w:color w:val="000000"/>
          <w:sz w:val="18"/>
          <w:szCs w:val="18"/>
          <w:lang w:val="es-CO" w:eastAsia="es-ES"/>
        </w:rPr>
        <w:t> corresponde a la actuación procesal mediante la cual el contribuyente reconoce la determinación oficial del impuesto, renunciando de esta manera a las instancias y recursos que la ley otorga para objetar dicha actuación oficial, </w:t>
      </w:r>
      <w:r w:rsidRPr="002656F2">
        <w:rPr>
          <w:rFonts w:ascii="Segoe UI" w:eastAsia="Times New Roman" w:hAnsi="Segoe UI" w:cs="Segoe UI"/>
          <w:i/>
          <w:iCs/>
          <w:color w:val="000000"/>
          <w:sz w:val="18"/>
          <w:szCs w:val="18"/>
          <w:u w:val="single"/>
          <w:lang w:val="es-CO" w:eastAsia="es-ES"/>
        </w:rPr>
        <w:t>por lo que resulta a todas luces improcedente el posterior ejercicio de la potestad de corrección a las declaraciones tributarias con base en los artículos </w:t>
      </w:r>
      <w:hyperlink r:id="rId21" w:tooltip="Estatuto Tributario CETA" w:history="1">
        <w:r w:rsidRPr="002656F2">
          <w:rPr>
            <w:rFonts w:ascii="Segoe UI" w:eastAsia="Times New Roman" w:hAnsi="Segoe UI" w:cs="Segoe UI"/>
            <w:i/>
            <w:iCs/>
            <w:color w:val="0089E1"/>
            <w:sz w:val="18"/>
            <w:szCs w:val="18"/>
            <w:lang w:val="es-CO" w:eastAsia="es-ES"/>
          </w:rPr>
          <w:t>588</w:t>
        </w:r>
      </w:hyperlink>
      <w:r w:rsidRPr="002656F2">
        <w:rPr>
          <w:rFonts w:ascii="Segoe UI" w:eastAsia="Times New Roman" w:hAnsi="Segoe UI" w:cs="Segoe UI"/>
          <w:i/>
          <w:iCs/>
          <w:color w:val="000000"/>
          <w:sz w:val="18"/>
          <w:szCs w:val="18"/>
          <w:u w:val="single"/>
          <w:lang w:val="es-CO" w:eastAsia="es-ES"/>
        </w:rPr>
        <w:t> y </w:t>
      </w:r>
      <w:hyperlink r:id="rId22" w:tooltip="Estatuto Tributario CETA" w:history="1">
        <w:r w:rsidRPr="002656F2">
          <w:rPr>
            <w:rFonts w:ascii="Segoe UI" w:eastAsia="Times New Roman" w:hAnsi="Segoe UI" w:cs="Segoe UI"/>
            <w:i/>
            <w:iCs/>
            <w:color w:val="0089E1"/>
            <w:sz w:val="18"/>
            <w:szCs w:val="18"/>
            <w:lang w:val="es-CO" w:eastAsia="es-ES"/>
          </w:rPr>
          <w:t>589</w:t>
        </w:r>
      </w:hyperlink>
      <w:r w:rsidRPr="002656F2">
        <w:rPr>
          <w:rFonts w:ascii="Segoe UI" w:eastAsia="Times New Roman" w:hAnsi="Segoe UI" w:cs="Segoe UI"/>
          <w:i/>
          <w:iCs/>
          <w:color w:val="000000"/>
          <w:sz w:val="18"/>
          <w:szCs w:val="18"/>
          <w:u w:val="single"/>
          <w:lang w:val="es-CO" w:eastAsia="es-ES"/>
        </w:rPr>
        <w:t> del Estatuto Tributario</w:t>
      </w:r>
      <w:r w:rsidRPr="002656F2">
        <w:rPr>
          <w:rFonts w:ascii="Segoe UI" w:eastAsia="Times New Roman" w:hAnsi="Segoe UI" w:cs="Segoe UI"/>
          <w:i/>
          <w:iCs/>
          <w:color w:val="000000"/>
          <w:sz w:val="18"/>
          <w:szCs w:val="18"/>
          <w:lang w:val="es-CO" w:eastAsia="es-ES"/>
        </w:rPr>
        <w:t>.</w:t>
      </w:r>
    </w:p>
    <w:p w14:paraId="76D41F3A" w14:textId="77777777" w:rsidR="002656F2" w:rsidRPr="002656F2" w:rsidRDefault="002656F2" w:rsidP="002656F2">
      <w:pPr>
        <w:spacing w:after="0" w:line="240" w:lineRule="auto"/>
        <w:ind w:left="284"/>
        <w:jc w:val="both"/>
        <w:rPr>
          <w:rFonts w:ascii="Arial" w:eastAsia="Times New Roman" w:hAnsi="Arial" w:cs="Arial"/>
          <w:color w:val="000000"/>
          <w:sz w:val="18"/>
          <w:szCs w:val="18"/>
          <w:lang w:eastAsia="es-ES"/>
        </w:rPr>
      </w:pPr>
      <w:r w:rsidRPr="002656F2">
        <w:rPr>
          <w:rFonts w:ascii="Segoe UI" w:eastAsia="Times New Roman" w:hAnsi="Segoe UI" w:cs="Segoe UI"/>
          <w:i/>
          <w:iCs/>
          <w:color w:val="000000"/>
          <w:sz w:val="18"/>
          <w:szCs w:val="18"/>
          <w:lang w:val="es-CO" w:eastAsia="es-ES"/>
        </w:rPr>
        <w:t> </w:t>
      </w:r>
    </w:p>
    <w:p w14:paraId="42BEE091" w14:textId="77777777" w:rsidR="002656F2" w:rsidRPr="002656F2" w:rsidRDefault="002656F2" w:rsidP="002656F2">
      <w:pPr>
        <w:spacing w:after="0" w:line="240" w:lineRule="auto"/>
        <w:ind w:left="284"/>
        <w:jc w:val="both"/>
        <w:rPr>
          <w:rFonts w:ascii="Arial" w:eastAsia="Times New Roman" w:hAnsi="Arial" w:cs="Arial"/>
          <w:color w:val="000000"/>
          <w:sz w:val="18"/>
          <w:szCs w:val="18"/>
          <w:lang w:eastAsia="es-ES"/>
        </w:rPr>
      </w:pPr>
      <w:r w:rsidRPr="002656F2">
        <w:rPr>
          <w:rFonts w:ascii="Segoe UI" w:eastAsia="Times New Roman" w:hAnsi="Segoe UI" w:cs="Segoe UI"/>
          <w:i/>
          <w:iCs/>
          <w:color w:val="000000"/>
          <w:sz w:val="18"/>
          <w:szCs w:val="18"/>
          <w:lang w:val="es-CO" w:eastAsia="es-ES"/>
        </w:rPr>
        <w:t>Esta interpretación es armónica con la limitación legal al ejercicio de la facultad de corrección por parte de los contribuyentes, a la cual ya se aludió, consistente en que la corrección a las declaraciones tributarias únicamente puede ejercerse antes de que se haya notificado requerimiento especial. (…)” </w:t>
      </w:r>
      <w:r w:rsidRPr="002656F2">
        <w:rPr>
          <w:rFonts w:ascii="Segoe UI" w:eastAsia="Times New Roman" w:hAnsi="Segoe UI" w:cs="Segoe UI"/>
          <w:color w:val="000000"/>
          <w:sz w:val="18"/>
          <w:szCs w:val="18"/>
          <w:lang w:val="es-CO" w:eastAsia="es-ES"/>
        </w:rPr>
        <w:t>(Subrayado fuera del texto)</w:t>
      </w:r>
    </w:p>
    <w:p w14:paraId="2FB9F51E" w14:textId="77777777" w:rsidR="002656F2" w:rsidRPr="002656F2" w:rsidRDefault="002656F2" w:rsidP="002656F2">
      <w:pPr>
        <w:spacing w:after="0" w:line="240" w:lineRule="auto"/>
        <w:jc w:val="both"/>
        <w:rPr>
          <w:rFonts w:ascii="Arial" w:eastAsia="Times New Roman" w:hAnsi="Arial" w:cs="Arial"/>
          <w:color w:val="000000"/>
          <w:sz w:val="18"/>
          <w:szCs w:val="18"/>
          <w:lang w:eastAsia="es-ES"/>
        </w:rPr>
      </w:pPr>
      <w:r w:rsidRPr="002656F2">
        <w:rPr>
          <w:rFonts w:ascii="Segoe UI" w:eastAsia="Times New Roman" w:hAnsi="Segoe UI" w:cs="Segoe UI"/>
          <w:color w:val="000000"/>
          <w:sz w:val="18"/>
          <w:szCs w:val="18"/>
          <w:lang w:val="es-CO" w:eastAsia="es-ES"/>
        </w:rPr>
        <w:t> </w:t>
      </w:r>
    </w:p>
    <w:p w14:paraId="0BFD3C98" w14:textId="77777777" w:rsidR="002656F2" w:rsidRPr="002656F2" w:rsidRDefault="002656F2" w:rsidP="002656F2">
      <w:pPr>
        <w:spacing w:after="0" w:line="240" w:lineRule="auto"/>
        <w:jc w:val="both"/>
        <w:rPr>
          <w:rFonts w:ascii="Arial" w:eastAsia="Times New Roman" w:hAnsi="Arial" w:cs="Arial"/>
          <w:color w:val="000000"/>
          <w:sz w:val="18"/>
          <w:szCs w:val="18"/>
          <w:lang w:eastAsia="es-ES"/>
        </w:rPr>
      </w:pPr>
      <w:r w:rsidRPr="002656F2">
        <w:rPr>
          <w:rFonts w:ascii="Segoe UI" w:eastAsia="Times New Roman" w:hAnsi="Segoe UI" w:cs="Segoe UI"/>
          <w:color w:val="000000"/>
          <w:sz w:val="18"/>
          <w:szCs w:val="18"/>
          <w:lang w:val="es-CO" w:eastAsia="es-ES"/>
        </w:rPr>
        <w:t>Nótese como, para efectos de la corrección voluntaria en aquellos casos en que se aumente el impuesto o disminuya el saldo a favor (</w:t>
      </w:r>
      <w:hyperlink r:id="rId23" w:tooltip="Estatuto Tributario CETA" w:history="1">
        <w:r w:rsidRPr="002656F2">
          <w:rPr>
            <w:rFonts w:ascii="Segoe UI" w:eastAsia="Times New Roman" w:hAnsi="Segoe UI" w:cs="Segoe UI"/>
            <w:color w:val="0089E1"/>
            <w:sz w:val="18"/>
            <w:szCs w:val="18"/>
            <w:lang w:val="es-CO" w:eastAsia="es-ES"/>
          </w:rPr>
          <w:t>artículo 588</w:t>
        </w:r>
      </w:hyperlink>
      <w:r w:rsidRPr="002656F2">
        <w:rPr>
          <w:rFonts w:ascii="Segoe UI" w:eastAsia="Times New Roman" w:hAnsi="Segoe UI" w:cs="Segoe UI"/>
          <w:color w:val="000000"/>
          <w:sz w:val="18"/>
          <w:szCs w:val="18"/>
          <w:lang w:val="es-CO" w:eastAsia="es-ES"/>
        </w:rPr>
        <w:t> </w:t>
      </w:r>
      <w:proofErr w:type="spellStart"/>
      <w:r w:rsidRPr="002656F2">
        <w:rPr>
          <w:rFonts w:ascii="Segoe UI" w:eastAsia="Times New Roman" w:hAnsi="Segoe UI" w:cs="Segoe UI"/>
          <w:i/>
          <w:iCs/>
          <w:color w:val="000000"/>
          <w:sz w:val="18"/>
          <w:szCs w:val="18"/>
          <w:lang w:val="es-CO" w:eastAsia="es-ES"/>
        </w:rPr>
        <w:t>ibídem</w:t>
      </w:r>
      <w:proofErr w:type="spellEnd"/>
      <w:r w:rsidRPr="002656F2">
        <w:rPr>
          <w:rFonts w:ascii="Segoe UI" w:eastAsia="Times New Roman" w:hAnsi="Segoe UI" w:cs="Segoe UI"/>
          <w:color w:val="000000"/>
          <w:sz w:val="18"/>
          <w:szCs w:val="18"/>
          <w:lang w:val="es-CO" w:eastAsia="es-ES"/>
        </w:rPr>
        <w:t>), esta tendrá lugar dentro de los tres años siguientes al vencimiento del plazo para declarar y antes de que se haya notificado requerimiento especial o pliego de cargos. Ahora, tratándose de aquellos eventos en que se disminuya el valor a pagar o aumente el saldo a favor, el </w:t>
      </w:r>
      <w:hyperlink r:id="rId24" w:tooltip="Estatuto Tributario CETA" w:history="1">
        <w:r w:rsidRPr="002656F2">
          <w:rPr>
            <w:rFonts w:ascii="Segoe UI" w:eastAsia="Times New Roman" w:hAnsi="Segoe UI" w:cs="Segoe UI"/>
            <w:color w:val="0089E1"/>
            <w:sz w:val="18"/>
            <w:szCs w:val="18"/>
            <w:lang w:val="es-CO" w:eastAsia="es-ES"/>
          </w:rPr>
          <w:t>artículo 589</w:t>
        </w:r>
      </w:hyperlink>
      <w:r w:rsidRPr="002656F2">
        <w:rPr>
          <w:rFonts w:ascii="Segoe UI" w:eastAsia="Times New Roman" w:hAnsi="Segoe UI" w:cs="Segoe UI"/>
          <w:color w:val="000000"/>
          <w:sz w:val="18"/>
          <w:szCs w:val="18"/>
          <w:lang w:val="es-CO" w:eastAsia="es-ES"/>
        </w:rPr>
        <w:t> </w:t>
      </w:r>
      <w:proofErr w:type="spellStart"/>
      <w:r w:rsidRPr="002656F2">
        <w:rPr>
          <w:rFonts w:ascii="Segoe UI" w:eastAsia="Times New Roman" w:hAnsi="Segoe UI" w:cs="Segoe UI"/>
          <w:i/>
          <w:iCs/>
          <w:color w:val="000000"/>
          <w:sz w:val="18"/>
          <w:szCs w:val="18"/>
          <w:lang w:val="es-CO" w:eastAsia="es-ES"/>
        </w:rPr>
        <w:t>ibídem</w:t>
      </w:r>
      <w:proofErr w:type="spellEnd"/>
      <w:r w:rsidRPr="002656F2">
        <w:rPr>
          <w:rFonts w:ascii="Segoe UI" w:eastAsia="Times New Roman" w:hAnsi="Segoe UI" w:cs="Segoe UI"/>
          <w:i/>
          <w:iCs/>
          <w:color w:val="000000"/>
          <w:sz w:val="18"/>
          <w:szCs w:val="18"/>
          <w:lang w:val="es-CO" w:eastAsia="es-ES"/>
        </w:rPr>
        <w:t> </w:t>
      </w:r>
      <w:r w:rsidRPr="002656F2">
        <w:rPr>
          <w:rFonts w:ascii="Segoe UI" w:eastAsia="Times New Roman" w:hAnsi="Segoe UI" w:cs="Segoe UI"/>
          <w:color w:val="000000"/>
          <w:sz w:val="18"/>
          <w:szCs w:val="18"/>
          <w:lang w:val="es-CO" w:eastAsia="es-ES"/>
        </w:rPr>
        <w:t>establece que la corrección debe realizarse dentro del año siguiente al vencimiento del término para presentar la declaración.</w:t>
      </w:r>
    </w:p>
    <w:p w14:paraId="0D0A4BA5" w14:textId="77777777" w:rsidR="002656F2" w:rsidRPr="002656F2" w:rsidRDefault="002656F2" w:rsidP="002656F2">
      <w:pPr>
        <w:spacing w:after="0" w:line="240" w:lineRule="auto"/>
        <w:jc w:val="both"/>
        <w:rPr>
          <w:rFonts w:ascii="Arial" w:eastAsia="Times New Roman" w:hAnsi="Arial" w:cs="Arial"/>
          <w:color w:val="000000"/>
          <w:sz w:val="18"/>
          <w:szCs w:val="18"/>
          <w:lang w:eastAsia="es-ES"/>
        </w:rPr>
      </w:pPr>
      <w:r w:rsidRPr="002656F2">
        <w:rPr>
          <w:rFonts w:ascii="Segoe UI" w:eastAsia="Times New Roman" w:hAnsi="Segoe UI" w:cs="Segoe UI"/>
          <w:color w:val="000000"/>
          <w:sz w:val="18"/>
          <w:szCs w:val="18"/>
          <w:lang w:val="es-CO" w:eastAsia="es-ES"/>
        </w:rPr>
        <w:t> </w:t>
      </w:r>
    </w:p>
    <w:p w14:paraId="5F04A3CC" w14:textId="77777777" w:rsidR="002656F2" w:rsidRPr="002656F2" w:rsidRDefault="002656F2" w:rsidP="002656F2">
      <w:pPr>
        <w:spacing w:after="0" w:line="240" w:lineRule="auto"/>
        <w:jc w:val="both"/>
        <w:rPr>
          <w:rFonts w:ascii="Arial" w:eastAsia="Times New Roman" w:hAnsi="Arial" w:cs="Arial"/>
          <w:color w:val="000000"/>
          <w:sz w:val="18"/>
          <w:szCs w:val="18"/>
          <w:lang w:eastAsia="es-ES"/>
        </w:rPr>
      </w:pPr>
      <w:r w:rsidRPr="002656F2">
        <w:rPr>
          <w:rFonts w:ascii="Segoe UI" w:eastAsia="Times New Roman" w:hAnsi="Segoe UI" w:cs="Segoe UI"/>
          <w:color w:val="000000"/>
          <w:sz w:val="18"/>
          <w:szCs w:val="18"/>
          <w:lang w:val="es-CO" w:eastAsia="es-ES"/>
        </w:rPr>
        <w:t>La corrección provocada, por su parte, atiende al término de firmeza que tiene la declaración, dado que es el término con el que cuenta la Administración para ejercer la facultad de fiscalización y control para, en caso dado, modificar la determinación del impuesto de forma oficial.</w:t>
      </w:r>
    </w:p>
    <w:p w14:paraId="500CC56A" w14:textId="77777777" w:rsidR="002656F2" w:rsidRPr="002656F2" w:rsidRDefault="002656F2" w:rsidP="002656F2">
      <w:pPr>
        <w:spacing w:after="0" w:line="240" w:lineRule="auto"/>
        <w:jc w:val="both"/>
        <w:rPr>
          <w:rFonts w:ascii="Arial" w:eastAsia="Times New Roman" w:hAnsi="Arial" w:cs="Arial"/>
          <w:color w:val="000000"/>
          <w:sz w:val="18"/>
          <w:szCs w:val="18"/>
          <w:lang w:eastAsia="es-ES"/>
        </w:rPr>
      </w:pPr>
      <w:r w:rsidRPr="002656F2">
        <w:rPr>
          <w:rFonts w:ascii="Segoe UI" w:eastAsia="Times New Roman" w:hAnsi="Segoe UI" w:cs="Segoe UI"/>
          <w:color w:val="000000"/>
          <w:sz w:val="18"/>
          <w:szCs w:val="18"/>
          <w:lang w:val="es-CO" w:eastAsia="es-ES"/>
        </w:rPr>
        <w:t> </w:t>
      </w:r>
    </w:p>
    <w:p w14:paraId="14FE5A76" w14:textId="77777777" w:rsidR="002656F2" w:rsidRPr="002656F2" w:rsidRDefault="002656F2" w:rsidP="002656F2">
      <w:pPr>
        <w:spacing w:after="0" w:line="240" w:lineRule="auto"/>
        <w:jc w:val="both"/>
        <w:rPr>
          <w:rFonts w:ascii="Arial" w:eastAsia="Times New Roman" w:hAnsi="Arial" w:cs="Arial"/>
          <w:color w:val="000000"/>
          <w:sz w:val="18"/>
          <w:szCs w:val="18"/>
          <w:lang w:eastAsia="es-ES"/>
        </w:rPr>
      </w:pPr>
      <w:r w:rsidRPr="002656F2">
        <w:rPr>
          <w:rFonts w:ascii="Segoe UI" w:eastAsia="Times New Roman" w:hAnsi="Segoe UI" w:cs="Segoe UI"/>
          <w:color w:val="000000"/>
          <w:sz w:val="18"/>
          <w:szCs w:val="18"/>
          <w:lang w:val="es-CO" w:eastAsia="es-ES"/>
        </w:rPr>
        <w:t>En este punto es importante mencionar que el </w:t>
      </w:r>
      <w:hyperlink r:id="rId25" w:tooltip="Estatuto Tributario CETA" w:history="1">
        <w:r w:rsidRPr="002656F2">
          <w:rPr>
            <w:rFonts w:ascii="Segoe UI" w:eastAsia="Times New Roman" w:hAnsi="Segoe UI" w:cs="Segoe UI"/>
            <w:color w:val="0089E1"/>
            <w:sz w:val="18"/>
            <w:szCs w:val="18"/>
            <w:lang w:val="es-CO" w:eastAsia="es-ES"/>
          </w:rPr>
          <w:t>artículo 685</w:t>
        </w:r>
      </w:hyperlink>
      <w:r w:rsidRPr="002656F2">
        <w:rPr>
          <w:rFonts w:ascii="Segoe UI" w:eastAsia="Times New Roman" w:hAnsi="Segoe UI" w:cs="Segoe UI"/>
          <w:color w:val="000000"/>
          <w:sz w:val="18"/>
          <w:szCs w:val="18"/>
          <w:lang w:val="es-CO" w:eastAsia="es-ES"/>
        </w:rPr>
        <w:t> del Estatuto Tributario faculta a la Administración de Impuestos para notificar al contribuyente, responsable o agente retenedor un emplazamiento para corregir cuando tenga indicios de la inexactitud de una declaración tributaria:</w:t>
      </w:r>
    </w:p>
    <w:p w14:paraId="7CE12A5E" w14:textId="77777777" w:rsidR="002656F2" w:rsidRPr="002656F2" w:rsidRDefault="002656F2" w:rsidP="002656F2">
      <w:pPr>
        <w:spacing w:after="0" w:line="240" w:lineRule="auto"/>
        <w:jc w:val="both"/>
        <w:rPr>
          <w:rFonts w:ascii="Arial" w:eastAsia="Times New Roman" w:hAnsi="Arial" w:cs="Arial"/>
          <w:color w:val="000000"/>
          <w:sz w:val="18"/>
          <w:szCs w:val="18"/>
          <w:lang w:eastAsia="es-ES"/>
        </w:rPr>
      </w:pPr>
      <w:r w:rsidRPr="002656F2">
        <w:rPr>
          <w:rFonts w:ascii="Segoe UI" w:eastAsia="Times New Roman" w:hAnsi="Segoe UI" w:cs="Segoe UI"/>
          <w:i/>
          <w:iCs/>
          <w:color w:val="000000"/>
          <w:sz w:val="18"/>
          <w:szCs w:val="18"/>
          <w:lang w:val="es-CO" w:eastAsia="es-ES"/>
        </w:rPr>
        <w:t> </w:t>
      </w:r>
    </w:p>
    <w:p w14:paraId="65235F9E" w14:textId="77777777" w:rsidR="002656F2" w:rsidRPr="002656F2" w:rsidRDefault="002656F2" w:rsidP="002656F2">
      <w:pPr>
        <w:spacing w:after="0" w:line="240" w:lineRule="auto"/>
        <w:ind w:left="284"/>
        <w:jc w:val="both"/>
        <w:rPr>
          <w:rFonts w:ascii="Arial" w:eastAsia="Times New Roman" w:hAnsi="Arial" w:cs="Arial"/>
          <w:color w:val="000000"/>
          <w:sz w:val="18"/>
          <w:szCs w:val="18"/>
          <w:lang w:eastAsia="es-ES"/>
        </w:rPr>
      </w:pPr>
      <w:r w:rsidRPr="002656F2">
        <w:rPr>
          <w:rFonts w:ascii="Segoe UI" w:eastAsia="Times New Roman" w:hAnsi="Segoe UI" w:cs="Segoe UI"/>
          <w:i/>
          <w:iCs/>
          <w:color w:val="000000"/>
          <w:sz w:val="18"/>
          <w:szCs w:val="18"/>
          <w:lang w:val="es-CO" w:eastAsia="es-ES"/>
        </w:rPr>
        <w:t>“</w:t>
      </w:r>
      <w:hyperlink r:id="rId26" w:tooltip="Estatuto Tributario CETA" w:history="1">
        <w:r w:rsidRPr="002656F2">
          <w:rPr>
            <w:rFonts w:ascii="Segoe UI" w:eastAsia="Times New Roman" w:hAnsi="Segoe UI" w:cs="Segoe UI"/>
            <w:b/>
            <w:bCs/>
            <w:i/>
            <w:iCs/>
            <w:color w:val="0089E1"/>
            <w:sz w:val="18"/>
            <w:szCs w:val="18"/>
            <w:lang w:val="es-CO" w:eastAsia="es-ES"/>
          </w:rPr>
          <w:t>Artículo 685</w:t>
        </w:r>
      </w:hyperlink>
      <w:r w:rsidRPr="002656F2">
        <w:rPr>
          <w:rFonts w:ascii="Segoe UI" w:eastAsia="Times New Roman" w:hAnsi="Segoe UI" w:cs="Segoe UI"/>
          <w:b/>
          <w:bCs/>
          <w:i/>
          <w:iCs/>
          <w:color w:val="000000"/>
          <w:sz w:val="18"/>
          <w:szCs w:val="18"/>
          <w:lang w:val="es-CO" w:eastAsia="es-ES"/>
        </w:rPr>
        <w:t>.</w:t>
      </w:r>
      <w:r w:rsidRPr="002656F2">
        <w:rPr>
          <w:rFonts w:ascii="Segoe UI" w:eastAsia="Times New Roman" w:hAnsi="Segoe UI" w:cs="Segoe UI"/>
          <w:i/>
          <w:iCs/>
          <w:color w:val="000000"/>
          <w:sz w:val="18"/>
          <w:szCs w:val="18"/>
          <w:lang w:val="es-CO" w:eastAsia="es-ES"/>
        </w:rPr>
        <w:t xml:space="preserve"> Emplazamiento para corregir. Cuando la Administración de Impuestos tenga indicios sobre la inexactitud de la declaración del contribuyente, responsable o agente retenedor, podrá enviarle un emplazamiento para corregir, con el fin de </w:t>
      </w:r>
      <w:proofErr w:type="gramStart"/>
      <w:r w:rsidRPr="002656F2">
        <w:rPr>
          <w:rFonts w:ascii="Segoe UI" w:eastAsia="Times New Roman" w:hAnsi="Segoe UI" w:cs="Segoe UI"/>
          <w:i/>
          <w:iCs/>
          <w:color w:val="000000"/>
          <w:sz w:val="18"/>
          <w:szCs w:val="18"/>
          <w:lang w:val="es-CO" w:eastAsia="es-ES"/>
        </w:rPr>
        <w:t>que</w:t>
      </w:r>
      <w:proofErr w:type="gramEnd"/>
      <w:r w:rsidRPr="002656F2">
        <w:rPr>
          <w:rFonts w:ascii="Segoe UI" w:eastAsia="Times New Roman" w:hAnsi="Segoe UI" w:cs="Segoe UI"/>
          <w:i/>
          <w:iCs/>
          <w:color w:val="000000"/>
          <w:sz w:val="18"/>
          <w:szCs w:val="18"/>
          <w:lang w:val="es-CO" w:eastAsia="es-ES"/>
        </w:rPr>
        <w:t xml:space="preserve"> dentro del mes siguiente a su notificación, la persona o entidad emplazada, si lo considera procedente, corrija la declaración liquidando la sanción de corrección respectiva de conformidad con el artículo 644. La no respuesta a este emplazamiento no ocasiona sanción alguna.</w:t>
      </w:r>
    </w:p>
    <w:p w14:paraId="191819D3" w14:textId="77777777" w:rsidR="002656F2" w:rsidRPr="002656F2" w:rsidRDefault="002656F2" w:rsidP="002656F2">
      <w:pPr>
        <w:spacing w:after="0" w:line="240" w:lineRule="auto"/>
        <w:ind w:left="284"/>
        <w:jc w:val="both"/>
        <w:rPr>
          <w:rFonts w:ascii="Arial" w:eastAsia="Times New Roman" w:hAnsi="Arial" w:cs="Arial"/>
          <w:color w:val="000000"/>
          <w:sz w:val="18"/>
          <w:szCs w:val="18"/>
          <w:lang w:eastAsia="es-ES"/>
        </w:rPr>
      </w:pPr>
      <w:r w:rsidRPr="002656F2">
        <w:rPr>
          <w:rFonts w:ascii="Segoe UI" w:eastAsia="Times New Roman" w:hAnsi="Segoe UI" w:cs="Segoe UI"/>
          <w:i/>
          <w:iCs/>
          <w:color w:val="000000"/>
          <w:sz w:val="18"/>
          <w:szCs w:val="18"/>
          <w:lang w:val="es-CO" w:eastAsia="es-ES"/>
        </w:rPr>
        <w:t> </w:t>
      </w:r>
    </w:p>
    <w:p w14:paraId="4CA37CEF" w14:textId="77777777" w:rsidR="002656F2" w:rsidRPr="002656F2" w:rsidRDefault="002656F2" w:rsidP="002656F2">
      <w:pPr>
        <w:spacing w:after="0" w:line="240" w:lineRule="auto"/>
        <w:ind w:left="284"/>
        <w:jc w:val="both"/>
        <w:rPr>
          <w:rFonts w:ascii="Arial" w:eastAsia="Times New Roman" w:hAnsi="Arial" w:cs="Arial"/>
          <w:color w:val="000000"/>
          <w:sz w:val="18"/>
          <w:szCs w:val="18"/>
          <w:lang w:eastAsia="es-ES"/>
        </w:rPr>
      </w:pPr>
      <w:r w:rsidRPr="002656F2">
        <w:rPr>
          <w:rFonts w:ascii="Segoe UI" w:eastAsia="Times New Roman" w:hAnsi="Segoe UI" w:cs="Segoe UI"/>
          <w:i/>
          <w:iCs/>
          <w:color w:val="000000"/>
          <w:sz w:val="18"/>
          <w:szCs w:val="18"/>
          <w:lang w:val="es-CO" w:eastAsia="es-ES"/>
        </w:rPr>
        <w:lastRenderedPageBreak/>
        <w:t>La administración podrá señalar en el emplazamiento para corregir, las posibles diferencias de interpretación o criterio que no configuran inexactitud, en cuyo caso el contribuyente podrá realizar la corrección sin sanción de corrección en lo que respecta a tales diferencias.”</w:t>
      </w:r>
    </w:p>
    <w:p w14:paraId="36FCA907" w14:textId="77777777" w:rsidR="002656F2" w:rsidRPr="002656F2" w:rsidRDefault="002656F2" w:rsidP="002656F2">
      <w:pPr>
        <w:spacing w:after="0" w:line="240" w:lineRule="auto"/>
        <w:jc w:val="both"/>
        <w:rPr>
          <w:rFonts w:ascii="Arial" w:eastAsia="Times New Roman" w:hAnsi="Arial" w:cs="Arial"/>
          <w:color w:val="000000"/>
          <w:sz w:val="18"/>
          <w:szCs w:val="18"/>
          <w:lang w:eastAsia="es-ES"/>
        </w:rPr>
      </w:pPr>
      <w:r w:rsidRPr="002656F2">
        <w:rPr>
          <w:rFonts w:ascii="Segoe UI" w:eastAsia="Times New Roman" w:hAnsi="Segoe UI" w:cs="Segoe UI"/>
          <w:color w:val="000000"/>
          <w:sz w:val="18"/>
          <w:szCs w:val="18"/>
          <w:lang w:val="es-CO" w:eastAsia="es-ES"/>
        </w:rPr>
        <w:t> </w:t>
      </w:r>
    </w:p>
    <w:p w14:paraId="15ED40F8" w14:textId="77777777" w:rsidR="002656F2" w:rsidRPr="002656F2" w:rsidRDefault="002656F2" w:rsidP="002656F2">
      <w:pPr>
        <w:spacing w:after="0" w:line="240" w:lineRule="auto"/>
        <w:jc w:val="both"/>
        <w:rPr>
          <w:rFonts w:ascii="Arial" w:eastAsia="Times New Roman" w:hAnsi="Arial" w:cs="Arial"/>
          <w:color w:val="000000"/>
          <w:sz w:val="18"/>
          <w:szCs w:val="18"/>
          <w:lang w:eastAsia="es-ES"/>
        </w:rPr>
      </w:pPr>
      <w:r w:rsidRPr="002656F2">
        <w:rPr>
          <w:rFonts w:ascii="Segoe UI" w:eastAsia="Times New Roman" w:hAnsi="Segoe UI" w:cs="Segoe UI"/>
          <w:color w:val="000000"/>
          <w:sz w:val="18"/>
          <w:szCs w:val="18"/>
          <w:lang w:val="es-CO" w:eastAsia="es-ES"/>
        </w:rPr>
        <w:t>Sobre el emplazamiento para corregir es importante indicar que este se puede notificar, en cualquier tiempo, siempre y cuando no haya operado la firmeza de la declaración tributaria (Concepto 077291 del 12 de diciembre de 2012). Igualmente se ha señalado su carácter optativo para la Administración (Concepto 069278 del 3 de septiembre de 1998).</w:t>
      </w:r>
    </w:p>
    <w:p w14:paraId="49E23240" w14:textId="77777777" w:rsidR="002656F2" w:rsidRPr="002656F2" w:rsidRDefault="002656F2" w:rsidP="002656F2">
      <w:pPr>
        <w:spacing w:after="0" w:line="240" w:lineRule="auto"/>
        <w:jc w:val="both"/>
        <w:rPr>
          <w:rFonts w:ascii="Arial" w:eastAsia="Times New Roman" w:hAnsi="Arial" w:cs="Arial"/>
          <w:color w:val="000000"/>
          <w:sz w:val="18"/>
          <w:szCs w:val="18"/>
          <w:lang w:eastAsia="es-ES"/>
        </w:rPr>
      </w:pPr>
      <w:r w:rsidRPr="002656F2">
        <w:rPr>
          <w:rFonts w:ascii="Segoe UI" w:eastAsia="Times New Roman" w:hAnsi="Segoe UI" w:cs="Segoe UI"/>
          <w:color w:val="000000"/>
          <w:sz w:val="18"/>
          <w:szCs w:val="18"/>
          <w:lang w:val="es-CO" w:eastAsia="es-ES"/>
        </w:rPr>
        <w:t> </w:t>
      </w:r>
    </w:p>
    <w:p w14:paraId="05AE9805" w14:textId="77777777" w:rsidR="002656F2" w:rsidRPr="002656F2" w:rsidRDefault="002656F2" w:rsidP="002656F2">
      <w:pPr>
        <w:spacing w:after="0" w:line="240" w:lineRule="auto"/>
        <w:jc w:val="both"/>
        <w:rPr>
          <w:rFonts w:ascii="Arial" w:eastAsia="Times New Roman" w:hAnsi="Arial" w:cs="Arial"/>
          <w:color w:val="000000"/>
          <w:sz w:val="18"/>
          <w:szCs w:val="18"/>
          <w:lang w:eastAsia="es-ES"/>
        </w:rPr>
      </w:pPr>
      <w:r w:rsidRPr="002656F2">
        <w:rPr>
          <w:rFonts w:ascii="Segoe UI" w:eastAsia="Times New Roman" w:hAnsi="Segoe UI" w:cs="Segoe UI"/>
          <w:color w:val="000000"/>
          <w:sz w:val="18"/>
          <w:szCs w:val="18"/>
          <w:lang w:val="es-CO" w:eastAsia="es-ES"/>
        </w:rPr>
        <w:t xml:space="preserve">Al respecto, la sección cuarta del Consejo de Estado en Sentencia de radicación No. 19382 del 5 de marzo de 2015, </w:t>
      </w:r>
      <w:proofErr w:type="gramStart"/>
      <w:r w:rsidRPr="002656F2">
        <w:rPr>
          <w:rFonts w:ascii="Segoe UI" w:eastAsia="Times New Roman" w:hAnsi="Segoe UI" w:cs="Segoe UI"/>
          <w:color w:val="000000"/>
          <w:sz w:val="18"/>
          <w:szCs w:val="18"/>
          <w:lang w:val="es-CO" w:eastAsia="es-ES"/>
        </w:rPr>
        <w:t>Consejero</w:t>
      </w:r>
      <w:proofErr w:type="gramEnd"/>
      <w:r w:rsidRPr="002656F2">
        <w:rPr>
          <w:rFonts w:ascii="Segoe UI" w:eastAsia="Times New Roman" w:hAnsi="Segoe UI" w:cs="Segoe UI"/>
          <w:color w:val="000000"/>
          <w:sz w:val="18"/>
          <w:szCs w:val="18"/>
          <w:lang w:val="es-CO" w:eastAsia="es-ES"/>
        </w:rPr>
        <w:t xml:space="preserve"> Ponente Dr. Hugo Fernando Bastidas, señaló:</w:t>
      </w:r>
    </w:p>
    <w:p w14:paraId="160AB855" w14:textId="77777777" w:rsidR="002656F2" w:rsidRPr="002656F2" w:rsidRDefault="002656F2" w:rsidP="002656F2">
      <w:pPr>
        <w:spacing w:after="0" w:line="240" w:lineRule="auto"/>
        <w:jc w:val="both"/>
        <w:rPr>
          <w:rFonts w:ascii="Arial" w:eastAsia="Times New Roman" w:hAnsi="Arial" w:cs="Arial"/>
          <w:color w:val="000000"/>
          <w:sz w:val="18"/>
          <w:szCs w:val="18"/>
          <w:lang w:eastAsia="es-ES"/>
        </w:rPr>
      </w:pPr>
      <w:r w:rsidRPr="002656F2">
        <w:rPr>
          <w:rFonts w:ascii="Segoe UI" w:eastAsia="Times New Roman" w:hAnsi="Segoe UI" w:cs="Segoe UI"/>
          <w:i/>
          <w:iCs/>
          <w:color w:val="000000"/>
          <w:sz w:val="18"/>
          <w:szCs w:val="18"/>
          <w:lang w:val="es-CO" w:eastAsia="es-ES"/>
        </w:rPr>
        <w:t> </w:t>
      </w:r>
    </w:p>
    <w:p w14:paraId="344E576B" w14:textId="77777777" w:rsidR="002656F2" w:rsidRPr="002656F2" w:rsidRDefault="002656F2" w:rsidP="002656F2">
      <w:pPr>
        <w:spacing w:after="0" w:line="240" w:lineRule="auto"/>
        <w:ind w:left="284"/>
        <w:jc w:val="both"/>
        <w:rPr>
          <w:rFonts w:ascii="Arial" w:eastAsia="Times New Roman" w:hAnsi="Arial" w:cs="Arial"/>
          <w:color w:val="000000"/>
          <w:sz w:val="18"/>
          <w:szCs w:val="18"/>
          <w:lang w:eastAsia="es-ES"/>
        </w:rPr>
      </w:pPr>
      <w:r w:rsidRPr="002656F2">
        <w:rPr>
          <w:rFonts w:ascii="Segoe UI" w:eastAsia="Times New Roman" w:hAnsi="Segoe UI" w:cs="Segoe UI"/>
          <w:i/>
          <w:iCs/>
          <w:color w:val="000000"/>
          <w:sz w:val="18"/>
          <w:szCs w:val="18"/>
          <w:lang w:val="es-CO" w:eastAsia="es-ES"/>
        </w:rPr>
        <w:t>“Las autoridades tributarias están facultadas para modificar la liquidación privada en tanto esta no se encuentre en firme y, para el efecto, la ley ha establecido una serie de </w:t>
      </w:r>
      <w:r w:rsidRPr="002656F2">
        <w:rPr>
          <w:rFonts w:ascii="Segoe UI" w:eastAsia="Times New Roman" w:hAnsi="Segoe UI" w:cs="Segoe UI"/>
          <w:b/>
          <w:bCs/>
          <w:i/>
          <w:iCs/>
          <w:color w:val="000000"/>
          <w:sz w:val="18"/>
          <w:szCs w:val="18"/>
          <w:lang w:val="es-CO" w:eastAsia="es-ES"/>
        </w:rPr>
        <w:t>etapas subsiguientes a la presentación de la declaración tributaria</w:t>
      </w:r>
      <w:r w:rsidRPr="002656F2">
        <w:rPr>
          <w:rFonts w:ascii="Segoe UI" w:eastAsia="Times New Roman" w:hAnsi="Segoe UI" w:cs="Segoe UI"/>
          <w:i/>
          <w:iCs/>
          <w:color w:val="000000"/>
          <w:sz w:val="18"/>
          <w:szCs w:val="18"/>
          <w:lang w:val="es-CO" w:eastAsia="es-ES"/>
        </w:rPr>
        <w:t>.</w:t>
      </w:r>
    </w:p>
    <w:p w14:paraId="3C7C62BD" w14:textId="77777777" w:rsidR="002656F2" w:rsidRPr="002656F2" w:rsidRDefault="002656F2" w:rsidP="002656F2">
      <w:pPr>
        <w:spacing w:after="0" w:line="240" w:lineRule="auto"/>
        <w:ind w:left="284"/>
        <w:jc w:val="both"/>
        <w:rPr>
          <w:rFonts w:ascii="Arial" w:eastAsia="Times New Roman" w:hAnsi="Arial" w:cs="Arial"/>
          <w:color w:val="000000"/>
          <w:sz w:val="18"/>
          <w:szCs w:val="18"/>
          <w:lang w:eastAsia="es-ES"/>
        </w:rPr>
      </w:pPr>
      <w:r w:rsidRPr="002656F2">
        <w:rPr>
          <w:rFonts w:ascii="Segoe UI" w:eastAsia="Times New Roman" w:hAnsi="Segoe UI" w:cs="Segoe UI"/>
          <w:i/>
          <w:iCs/>
          <w:color w:val="000000"/>
          <w:sz w:val="18"/>
          <w:szCs w:val="18"/>
          <w:lang w:val="es-CO" w:eastAsia="es-ES"/>
        </w:rPr>
        <w:t> </w:t>
      </w:r>
    </w:p>
    <w:p w14:paraId="0AE4AF5A" w14:textId="77777777" w:rsidR="002656F2" w:rsidRPr="002656F2" w:rsidRDefault="002656F2" w:rsidP="002656F2">
      <w:pPr>
        <w:spacing w:after="0" w:line="240" w:lineRule="auto"/>
        <w:ind w:left="284"/>
        <w:jc w:val="both"/>
        <w:rPr>
          <w:rFonts w:ascii="Arial" w:eastAsia="Times New Roman" w:hAnsi="Arial" w:cs="Arial"/>
          <w:color w:val="000000"/>
          <w:sz w:val="18"/>
          <w:szCs w:val="18"/>
          <w:lang w:eastAsia="es-ES"/>
        </w:rPr>
      </w:pPr>
      <w:r w:rsidRPr="002656F2">
        <w:rPr>
          <w:rFonts w:ascii="Segoe UI" w:eastAsia="Times New Roman" w:hAnsi="Segoe UI" w:cs="Segoe UI"/>
          <w:i/>
          <w:iCs/>
          <w:color w:val="000000"/>
          <w:sz w:val="18"/>
          <w:szCs w:val="18"/>
          <w:lang w:val="es-CO" w:eastAsia="es-ES"/>
        </w:rPr>
        <w:t>En efecto, podría decirse que </w:t>
      </w:r>
      <w:r w:rsidRPr="002656F2">
        <w:rPr>
          <w:rFonts w:ascii="Segoe UI" w:eastAsia="Times New Roman" w:hAnsi="Segoe UI" w:cs="Segoe UI"/>
          <w:b/>
          <w:bCs/>
          <w:i/>
          <w:iCs/>
          <w:color w:val="000000"/>
          <w:sz w:val="18"/>
          <w:szCs w:val="18"/>
          <w:lang w:val="es-CO" w:eastAsia="es-ES"/>
        </w:rPr>
        <w:t>en la actuación administrativa iniciada en cumplimiento del deber legal hay tres etapas</w:t>
      </w:r>
      <w:r w:rsidRPr="002656F2">
        <w:rPr>
          <w:rFonts w:ascii="Segoe UI" w:eastAsia="Times New Roman" w:hAnsi="Segoe UI" w:cs="Segoe UI"/>
          <w:i/>
          <w:iCs/>
          <w:color w:val="000000"/>
          <w:sz w:val="18"/>
          <w:szCs w:val="18"/>
          <w:lang w:val="es-CO" w:eastAsia="es-ES"/>
        </w:rPr>
        <w:t>: </w:t>
      </w:r>
      <w:r w:rsidRPr="002656F2">
        <w:rPr>
          <w:rFonts w:ascii="Segoe UI" w:eastAsia="Times New Roman" w:hAnsi="Segoe UI" w:cs="Segoe UI"/>
          <w:b/>
          <w:bCs/>
          <w:i/>
          <w:iCs/>
          <w:color w:val="000000"/>
          <w:sz w:val="18"/>
          <w:szCs w:val="18"/>
          <w:lang w:val="es-CO" w:eastAsia="es-ES"/>
        </w:rPr>
        <w:t>En la primera etapa, el contribuyente hace las gestiones necesarias que le dicta la ley tributaria para presentar, en debida forma y en los plazos establecidos, el denuncio tributario, o, si es del caso, el denuncio corregido voluntariamente. </w:t>
      </w:r>
      <w:r w:rsidRPr="002656F2">
        <w:rPr>
          <w:rFonts w:ascii="Segoe UI" w:eastAsia="Times New Roman" w:hAnsi="Segoe UI" w:cs="Segoe UI"/>
          <w:i/>
          <w:iCs/>
          <w:color w:val="000000"/>
          <w:sz w:val="18"/>
          <w:szCs w:val="18"/>
          <w:lang w:val="es-CO" w:eastAsia="es-ES"/>
        </w:rPr>
        <w:t>En esta etapa, el denuncio tributario inicial o corregido voluntariamente se erige como un mero acto jurídico no consolidado. </w:t>
      </w:r>
      <w:r w:rsidRPr="002656F2">
        <w:rPr>
          <w:rFonts w:ascii="Segoe UI" w:eastAsia="Times New Roman" w:hAnsi="Segoe UI" w:cs="Segoe UI"/>
          <w:b/>
          <w:bCs/>
          <w:i/>
          <w:iCs/>
          <w:color w:val="000000"/>
          <w:sz w:val="18"/>
          <w:szCs w:val="18"/>
          <w:lang w:val="es-CO" w:eastAsia="es-ES"/>
        </w:rPr>
        <w:t>La segunda etapa esta´ prevista para persuadir al contribuyente de corregir el denuncio tributario cuando la administración advierte “indicios” de inconsistencias e inexactitudes en la declaración correspondiente. Si el contribuyente corrige el denuncio tributario, conforme con lo sugerido por la administración, el denuncio tributario así corregido se entiende aceptado </w:t>
      </w:r>
      <w:r w:rsidRPr="002656F2">
        <w:rPr>
          <w:rFonts w:ascii="Segoe UI" w:eastAsia="Times New Roman" w:hAnsi="Segoe UI" w:cs="Segoe UI"/>
          <w:i/>
          <w:iCs/>
          <w:color w:val="000000"/>
          <w:sz w:val="18"/>
          <w:szCs w:val="18"/>
          <w:lang w:val="es-CO" w:eastAsia="es-ES"/>
        </w:rPr>
        <w:t>y, por ende, la situación jurídica se consolida en esas condiciones. En cambio, </w:t>
      </w:r>
      <w:r w:rsidRPr="002656F2">
        <w:rPr>
          <w:rFonts w:ascii="Segoe UI" w:eastAsia="Times New Roman" w:hAnsi="Segoe UI" w:cs="Segoe UI"/>
          <w:b/>
          <w:bCs/>
          <w:i/>
          <w:iCs/>
          <w:color w:val="000000"/>
          <w:sz w:val="18"/>
          <w:szCs w:val="18"/>
          <w:lang w:val="es-CO" w:eastAsia="es-ES"/>
        </w:rPr>
        <w:t>si la administración no acepta la corrección o el contribuyente simplemente no corrige, surge la etapa conminatoria, que tiene como fin modificar oficiosamente el tributo declarado y antes de que, se reitera, quede en firme el denuncio tributario.</w:t>
      </w:r>
      <w:r w:rsidRPr="002656F2">
        <w:rPr>
          <w:rFonts w:ascii="Segoe UI" w:eastAsia="Times New Roman" w:hAnsi="Segoe UI" w:cs="Segoe UI"/>
          <w:i/>
          <w:iCs/>
          <w:color w:val="000000"/>
          <w:sz w:val="18"/>
          <w:szCs w:val="18"/>
          <w:lang w:val="es-CO" w:eastAsia="es-ES"/>
        </w:rPr>
        <w:t>” </w:t>
      </w:r>
      <w:r w:rsidRPr="002656F2">
        <w:rPr>
          <w:rFonts w:ascii="Segoe UI" w:eastAsia="Times New Roman" w:hAnsi="Segoe UI" w:cs="Segoe UI"/>
          <w:color w:val="000000"/>
          <w:sz w:val="18"/>
          <w:szCs w:val="18"/>
          <w:lang w:val="es-CO" w:eastAsia="es-ES"/>
        </w:rPr>
        <w:t>(Negrilla fuera del texto).</w:t>
      </w:r>
    </w:p>
    <w:p w14:paraId="0227B623" w14:textId="77777777" w:rsidR="002656F2" w:rsidRPr="002656F2" w:rsidRDefault="002656F2" w:rsidP="002656F2">
      <w:pPr>
        <w:spacing w:after="0" w:line="240" w:lineRule="auto"/>
        <w:jc w:val="both"/>
        <w:rPr>
          <w:rFonts w:ascii="Arial" w:eastAsia="Times New Roman" w:hAnsi="Arial" w:cs="Arial"/>
          <w:color w:val="000000"/>
          <w:sz w:val="18"/>
          <w:szCs w:val="18"/>
          <w:lang w:eastAsia="es-ES"/>
        </w:rPr>
      </w:pPr>
      <w:r w:rsidRPr="002656F2">
        <w:rPr>
          <w:rFonts w:ascii="Segoe UI" w:eastAsia="Times New Roman" w:hAnsi="Segoe UI" w:cs="Segoe UI"/>
          <w:color w:val="000000"/>
          <w:sz w:val="18"/>
          <w:szCs w:val="18"/>
          <w:lang w:val="es-CO" w:eastAsia="es-ES"/>
        </w:rPr>
        <w:t> </w:t>
      </w:r>
    </w:p>
    <w:p w14:paraId="48831729" w14:textId="77777777" w:rsidR="002656F2" w:rsidRPr="002656F2" w:rsidRDefault="002656F2" w:rsidP="002656F2">
      <w:pPr>
        <w:spacing w:after="0" w:line="240" w:lineRule="auto"/>
        <w:jc w:val="both"/>
        <w:rPr>
          <w:rFonts w:ascii="Arial" w:eastAsia="Times New Roman" w:hAnsi="Arial" w:cs="Arial"/>
          <w:color w:val="000000"/>
          <w:sz w:val="18"/>
          <w:szCs w:val="18"/>
          <w:lang w:eastAsia="es-ES"/>
        </w:rPr>
      </w:pPr>
      <w:r w:rsidRPr="002656F2">
        <w:rPr>
          <w:rFonts w:ascii="Segoe UI" w:eastAsia="Times New Roman" w:hAnsi="Segoe UI" w:cs="Segoe UI"/>
          <w:color w:val="000000"/>
          <w:sz w:val="18"/>
          <w:szCs w:val="18"/>
          <w:lang w:val="es-CO" w:eastAsia="es-ES"/>
        </w:rPr>
        <w:t>Así las cosas, es el término de firmeza de la declaración el que determina el actuar de la Administración para efectos de la expedición del emplazamiento para corregir y no lo dispuesto en el inciso primero de los artículos </w:t>
      </w:r>
      <w:hyperlink r:id="rId27" w:tooltip="Estatuto Tributario CETA" w:history="1">
        <w:r w:rsidRPr="002656F2">
          <w:rPr>
            <w:rFonts w:ascii="Segoe UI" w:eastAsia="Times New Roman" w:hAnsi="Segoe UI" w:cs="Segoe UI"/>
            <w:color w:val="0089E1"/>
            <w:sz w:val="18"/>
            <w:szCs w:val="18"/>
            <w:lang w:val="es-CO" w:eastAsia="es-ES"/>
          </w:rPr>
          <w:t>588</w:t>
        </w:r>
      </w:hyperlink>
      <w:r w:rsidRPr="002656F2">
        <w:rPr>
          <w:rFonts w:ascii="Segoe UI" w:eastAsia="Times New Roman" w:hAnsi="Segoe UI" w:cs="Segoe UI"/>
          <w:color w:val="000000"/>
          <w:sz w:val="18"/>
          <w:szCs w:val="18"/>
          <w:lang w:val="es-CO" w:eastAsia="es-ES"/>
        </w:rPr>
        <w:t> y </w:t>
      </w:r>
      <w:hyperlink r:id="rId28" w:tooltip="Estatuto Tributario CETA" w:history="1">
        <w:r w:rsidRPr="002656F2">
          <w:rPr>
            <w:rFonts w:ascii="Segoe UI" w:eastAsia="Times New Roman" w:hAnsi="Segoe UI" w:cs="Segoe UI"/>
            <w:color w:val="0089E1"/>
            <w:sz w:val="18"/>
            <w:szCs w:val="18"/>
            <w:lang w:val="es-CO" w:eastAsia="es-ES"/>
          </w:rPr>
          <w:t>589</w:t>
        </w:r>
      </w:hyperlink>
      <w:r w:rsidRPr="002656F2">
        <w:rPr>
          <w:rFonts w:ascii="Segoe UI" w:eastAsia="Times New Roman" w:hAnsi="Segoe UI" w:cs="Segoe UI"/>
          <w:color w:val="000000"/>
          <w:sz w:val="18"/>
          <w:szCs w:val="18"/>
          <w:lang w:val="es-CO" w:eastAsia="es-ES"/>
        </w:rPr>
        <w:t> del Estatuto Tributario. En ese sentido el </w:t>
      </w:r>
      <w:hyperlink r:id="rId29" w:tooltip="Estatuto Tributario CETA" w:history="1">
        <w:r w:rsidRPr="002656F2">
          <w:rPr>
            <w:rFonts w:ascii="Segoe UI" w:eastAsia="Times New Roman" w:hAnsi="Segoe UI" w:cs="Segoe UI"/>
            <w:color w:val="0089E1"/>
            <w:sz w:val="18"/>
            <w:szCs w:val="18"/>
            <w:lang w:val="es-CO" w:eastAsia="es-ES"/>
          </w:rPr>
          <w:t>artículo 714</w:t>
        </w:r>
      </w:hyperlink>
      <w:r w:rsidRPr="002656F2">
        <w:rPr>
          <w:rFonts w:ascii="Segoe UI" w:eastAsia="Times New Roman" w:hAnsi="Segoe UI" w:cs="Segoe UI"/>
          <w:color w:val="000000"/>
          <w:sz w:val="18"/>
          <w:szCs w:val="18"/>
          <w:lang w:val="es-CO" w:eastAsia="es-ES"/>
        </w:rPr>
        <w:t> de este ordenamiento establece la siguiente regla general:</w:t>
      </w:r>
    </w:p>
    <w:p w14:paraId="681C4D72" w14:textId="77777777" w:rsidR="002656F2" w:rsidRPr="002656F2" w:rsidRDefault="002656F2" w:rsidP="002656F2">
      <w:pPr>
        <w:spacing w:after="0" w:line="240" w:lineRule="auto"/>
        <w:jc w:val="both"/>
        <w:rPr>
          <w:rFonts w:ascii="Arial" w:eastAsia="Times New Roman" w:hAnsi="Arial" w:cs="Arial"/>
          <w:color w:val="000000"/>
          <w:sz w:val="18"/>
          <w:szCs w:val="18"/>
          <w:lang w:eastAsia="es-ES"/>
        </w:rPr>
      </w:pPr>
      <w:r w:rsidRPr="002656F2">
        <w:rPr>
          <w:rFonts w:ascii="Segoe UI" w:eastAsia="Times New Roman" w:hAnsi="Segoe UI" w:cs="Segoe UI"/>
          <w:i/>
          <w:iCs/>
          <w:color w:val="000000"/>
          <w:sz w:val="18"/>
          <w:szCs w:val="18"/>
          <w:lang w:val="es-CO" w:eastAsia="es-ES"/>
        </w:rPr>
        <w:t> </w:t>
      </w:r>
    </w:p>
    <w:p w14:paraId="20D3FF2F" w14:textId="77777777" w:rsidR="002656F2" w:rsidRPr="002656F2" w:rsidRDefault="002656F2" w:rsidP="002656F2">
      <w:pPr>
        <w:spacing w:after="0" w:line="240" w:lineRule="auto"/>
        <w:ind w:left="284"/>
        <w:jc w:val="both"/>
        <w:rPr>
          <w:rFonts w:ascii="Arial" w:eastAsia="Times New Roman" w:hAnsi="Arial" w:cs="Arial"/>
          <w:color w:val="000000"/>
          <w:sz w:val="18"/>
          <w:szCs w:val="18"/>
          <w:lang w:eastAsia="es-ES"/>
        </w:rPr>
      </w:pPr>
      <w:r w:rsidRPr="002656F2">
        <w:rPr>
          <w:rFonts w:ascii="Segoe UI" w:eastAsia="Times New Roman" w:hAnsi="Segoe UI" w:cs="Segoe UI"/>
          <w:i/>
          <w:iCs/>
          <w:color w:val="000000"/>
          <w:sz w:val="18"/>
          <w:szCs w:val="18"/>
          <w:lang w:val="es-CO" w:eastAsia="es-ES"/>
        </w:rPr>
        <w:t>“</w:t>
      </w:r>
      <w:hyperlink r:id="rId30" w:tooltip="Estatuto Tributario CETA" w:history="1">
        <w:r w:rsidRPr="002656F2">
          <w:rPr>
            <w:rFonts w:ascii="Segoe UI" w:eastAsia="Times New Roman" w:hAnsi="Segoe UI" w:cs="Segoe UI"/>
            <w:b/>
            <w:bCs/>
            <w:i/>
            <w:iCs/>
            <w:color w:val="0089E1"/>
            <w:sz w:val="18"/>
            <w:szCs w:val="18"/>
            <w:lang w:val="es-CO" w:eastAsia="es-ES"/>
          </w:rPr>
          <w:t>Artículo 714</w:t>
        </w:r>
      </w:hyperlink>
      <w:r w:rsidRPr="002656F2">
        <w:rPr>
          <w:rFonts w:ascii="Segoe UI" w:eastAsia="Times New Roman" w:hAnsi="Segoe UI" w:cs="Segoe UI"/>
          <w:b/>
          <w:bCs/>
          <w:i/>
          <w:iCs/>
          <w:color w:val="000000"/>
          <w:sz w:val="18"/>
          <w:szCs w:val="18"/>
          <w:lang w:val="es-CO" w:eastAsia="es-ES"/>
        </w:rPr>
        <w:t>.</w:t>
      </w:r>
      <w:r w:rsidRPr="002656F2">
        <w:rPr>
          <w:rFonts w:ascii="Segoe UI" w:eastAsia="Times New Roman" w:hAnsi="Segoe UI" w:cs="Segoe UI"/>
          <w:i/>
          <w:iCs/>
          <w:color w:val="000000"/>
          <w:sz w:val="18"/>
          <w:szCs w:val="18"/>
          <w:lang w:val="es-CO" w:eastAsia="es-ES"/>
        </w:rPr>
        <w:t xml:space="preserve"> Término general de firmeza de las declaraciones tributarias. La declaración tributaria quedará en firme sí, dentro de los tres (3) años siguientes a la fecha del vencimiento del plazo para declarar, no se ha notificado requerimiento especial. Cuando la declaración inicial se haya presentado en forma extemporánea, los tres (3) años se contarán a partir de la fecha de presentación de </w:t>
      </w:r>
      <w:proofErr w:type="gramStart"/>
      <w:r w:rsidRPr="002656F2">
        <w:rPr>
          <w:rFonts w:ascii="Segoe UI" w:eastAsia="Times New Roman" w:hAnsi="Segoe UI" w:cs="Segoe UI"/>
          <w:i/>
          <w:iCs/>
          <w:color w:val="000000"/>
          <w:sz w:val="18"/>
          <w:szCs w:val="18"/>
          <w:lang w:val="es-CO" w:eastAsia="es-ES"/>
        </w:rPr>
        <w:t>la misma</w:t>
      </w:r>
      <w:proofErr w:type="gramEnd"/>
      <w:r w:rsidRPr="002656F2">
        <w:rPr>
          <w:rFonts w:ascii="Segoe UI" w:eastAsia="Times New Roman" w:hAnsi="Segoe UI" w:cs="Segoe UI"/>
          <w:i/>
          <w:iCs/>
          <w:color w:val="000000"/>
          <w:sz w:val="18"/>
          <w:szCs w:val="18"/>
          <w:lang w:val="es-CO" w:eastAsia="es-ES"/>
        </w:rPr>
        <w:t>.</w:t>
      </w:r>
    </w:p>
    <w:p w14:paraId="7FF16FB5" w14:textId="77777777" w:rsidR="002656F2" w:rsidRPr="002656F2" w:rsidRDefault="002656F2" w:rsidP="002656F2">
      <w:pPr>
        <w:spacing w:after="0" w:line="240" w:lineRule="auto"/>
        <w:ind w:left="284"/>
        <w:jc w:val="both"/>
        <w:rPr>
          <w:rFonts w:ascii="Arial" w:eastAsia="Times New Roman" w:hAnsi="Arial" w:cs="Arial"/>
          <w:color w:val="000000"/>
          <w:sz w:val="18"/>
          <w:szCs w:val="18"/>
          <w:lang w:eastAsia="es-ES"/>
        </w:rPr>
      </w:pPr>
      <w:r w:rsidRPr="002656F2">
        <w:rPr>
          <w:rFonts w:ascii="Segoe UI" w:eastAsia="Times New Roman" w:hAnsi="Segoe UI" w:cs="Segoe UI"/>
          <w:i/>
          <w:iCs/>
          <w:color w:val="000000"/>
          <w:sz w:val="18"/>
          <w:szCs w:val="18"/>
          <w:lang w:val="es-CO" w:eastAsia="es-ES"/>
        </w:rPr>
        <w:t> </w:t>
      </w:r>
    </w:p>
    <w:p w14:paraId="6C577773" w14:textId="77777777" w:rsidR="002656F2" w:rsidRPr="002656F2" w:rsidRDefault="002656F2" w:rsidP="002656F2">
      <w:pPr>
        <w:spacing w:after="0" w:line="240" w:lineRule="auto"/>
        <w:ind w:left="284"/>
        <w:jc w:val="both"/>
        <w:rPr>
          <w:rFonts w:ascii="Arial" w:eastAsia="Times New Roman" w:hAnsi="Arial" w:cs="Arial"/>
          <w:color w:val="000000"/>
          <w:sz w:val="18"/>
          <w:szCs w:val="18"/>
          <w:lang w:eastAsia="es-ES"/>
        </w:rPr>
      </w:pPr>
      <w:r w:rsidRPr="002656F2">
        <w:rPr>
          <w:rFonts w:ascii="Segoe UI" w:eastAsia="Times New Roman" w:hAnsi="Segoe UI" w:cs="Segoe UI"/>
          <w:i/>
          <w:iCs/>
          <w:color w:val="000000"/>
          <w:sz w:val="18"/>
          <w:szCs w:val="18"/>
          <w:lang w:val="es-CO" w:eastAsia="es-ES"/>
        </w:rPr>
        <w:t>La declaración tributaria en la que se presente un saldo a favor del contribuyente o responsable quedará en firme sí, tres (3) años después de la fecha de presentación de la solicitud de devolución o compensación, no se ha notificado requerimiento especial. Cuando se impute el saldo a favor en las declaraciones tributarias de los períodos fiscales siguientes, el término de firmeza de la declaración tributaria en la que se presente un saldo a favor será el señalado en el inciso 1o de este artículo.</w:t>
      </w:r>
    </w:p>
    <w:p w14:paraId="728E6AFD" w14:textId="77777777" w:rsidR="002656F2" w:rsidRPr="002656F2" w:rsidRDefault="002656F2" w:rsidP="002656F2">
      <w:pPr>
        <w:spacing w:after="0" w:line="240" w:lineRule="auto"/>
        <w:ind w:left="284"/>
        <w:jc w:val="both"/>
        <w:rPr>
          <w:rFonts w:ascii="Arial" w:eastAsia="Times New Roman" w:hAnsi="Arial" w:cs="Arial"/>
          <w:color w:val="000000"/>
          <w:sz w:val="18"/>
          <w:szCs w:val="18"/>
          <w:lang w:eastAsia="es-ES"/>
        </w:rPr>
      </w:pPr>
      <w:r w:rsidRPr="002656F2">
        <w:rPr>
          <w:rFonts w:ascii="Segoe UI" w:eastAsia="Times New Roman" w:hAnsi="Segoe UI" w:cs="Segoe UI"/>
          <w:i/>
          <w:iCs/>
          <w:color w:val="000000"/>
          <w:sz w:val="18"/>
          <w:szCs w:val="18"/>
          <w:lang w:val="es-CO" w:eastAsia="es-ES"/>
        </w:rPr>
        <w:t> </w:t>
      </w:r>
    </w:p>
    <w:p w14:paraId="5CAB619F" w14:textId="77777777" w:rsidR="002656F2" w:rsidRPr="002656F2" w:rsidRDefault="002656F2" w:rsidP="002656F2">
      <w:pPr>
        <w:spacing w:after="0" w:line="240" w:lineRule="auto"/>
        <w:ind w:left="284"/>
        <w:jc w:val="both"/>
        <w:rPr>
          <w:rFonts w:ascii="Arial" w:eastAsia="Times New Roman" w:hAnsi="Arial" w:cs="Arial"/>
          <w:color w:val="000000"/>
          <w:sz w:val="18"/>
          <w:szCs w:val="18"/>
          <w:lang w:eastAsia="es-ES"/>
        </w:rPr>
      </w:pPr>
      <w:r w:rsidRPr="002656F2">
        <w:rPr>
          <w:rFonts w:ascii="Segoe UI" w:eastAsia="Times New Roman" w:hAnsi="Segoe UI" w:cs="Segoe UI"/>
          <w:i/>
          <w:iCs/>
          <w:color w:val="000000"/>
          <w:sz w:val="18"/>
          <w:szCs w:val="18"/>
          <w:lang w:val="es-CO" w:eastAsia="es-ES"/>
        </w:rPr>
        <w:t>También quedará en firme la declaración tributaria si, vencido el término para practicar la liquidación de revisión, esta no se notificó.</w:t>
      </w:r>
    </w:p>
    <w:p w14:paraId="35CCF863" w14:textId="77777777" w:rsidR="002656F2" w:rsidRPr="002656F2" w:rsidRDefault="002656F2" w:rsidP="002656F2">
      <w:pPr>
        <w:spacing w:after="0" w:line="240" w:lineRule="auto"/>
        <w:ind w:left="284"/>
        <w:jc w:val="both"/>
        <w:rPr>
          <w:rFonts w:ascii="Arial" w:eastAsia="Times New Roman" w:hAnsi="Arial" w:cs="Arial"/>
          <w:color w:val="000000"/>
          <w:sz w:val="18"/>
          <w:szCs w:val="18"/>
          <w:lang w:eastAsia="es-ES"/>
        </w:rPr>
      </w:pPr>
      <w:r w:rsidRPr="002656F2">
        <w:rPr>
          <w:rFonts w:ascii="Segoe UI" w:eastAsia="Times New Roman" w:hAnsi="Segoe UI" w:cs="Segoe UI"/>
          <w:i/>
          <w:iCs/>
          <w:color w:val="000000"/>
          <w:sz w:val="18"/>
          <w:szCs w:val="18"/>
          <w:lang w:val="es-CO" w:eastAsia="es-ES"/>
        </w:rPr>
        <w:t> </w:t>
      </w:r>
    </w:p>
    <w:p w14:paraId="1361CFD3" w14:textId="77777777" w:rsidR="002656F2" w:rsidRPr="002656F2" w:rsidRDefault="002656F2" w:rsidP="002656F2">
      <w:pPr>
        <w:spacing w:after="0" w:line="240" w:lineRule="auto"/>
        <w:ind w:left="284"/>
        <w:jc w:val="both"/>
        <w:rPr>
          <w:rFonts w:ascii="Arial" w:eastAsia="Times New Roman" w:hAnsi="Arial" w:cs="Arial"/>
          <w:color w:val="000000"/>
          <w:sz w:val="18"/>
          <w:szCs w:val="18"/>
          <w:lang w:eastAsia="es-ES"/>
        </w:rPr>
      </w:pPr>
      <w:r w:rsidRPr="002656F2">
        <w:rPr>
          <w:rFonts w:ascii="Segoe UI" w:eastAsia="Times New Roman" w:hAnsi="Segoe UI" w:cs="Segoe UI"/>
          <w:i/>
          <w:iCs/>
          <w:color w:val="000000"/>
          <w:sz w:val="18"/>
          <w:szCs w:val="18"/>
          <w:lang w:val="es-CO" w:eastAsia="es-ES"/>
        </w:rPr>
        <w:t>La declaración tributaria en la que se liquide pérdida fiscal quedará en firme en el mismo término que el contribuyente tiene para compensarla, de acuerdo con las reglas de este Estatuto.”</w:t>
      </w:r>
    </w:p>
    <w:p w14:paraId="2A6E8DAC" w14:textId="77777777" w:rsidR="002656F2" w:rsidRPr="002656F2" w:rsidRDefault="002656F2" w:rsidP="002656F2">
      <w:pPr>
        <w:spacing w:after="0" w:line="240" w:lineRule="auto"/>
        <w:jc w:val="both"/>
        <w:rPr>
          <w:rFonts w:ascii="Arial" w:eastAsia="Times New Roman" w:hAnsi="Arial" w:cs="Arial"/>
          <w:color w:val="000000"/>
          <w:sz w:val="18"/>
          <w:szCs w:val="18"/>
          <w:lang w:eastAsia="es-ES"/>
        </w:rPr>
      </w:pPr>
      <w:r w:rsidRPr="002656F2">
        <w:rPr>
          <w:rFonts w:ascii="Segoe UI" w:eastAsia="Times New Roman" w:hAnsi="Segoe UI" w:cs="Segoe UI"/>
          <w:color w:val="000000"/>
          <w:sz w:val="18"/>
          <w:szCs w:val="18"/>
          <w:lang w:val="es-CO" w:eastAsia="es-ES"/>
        </w:rPr>
        <w:t> </w:t>
      </w:r>
    </w:p>
    <w:p w14:paraId="6E3DC5EA" w14:textId="77777777" w:rsidR="002656F2" w:rsidRPr="002656F2" w:rsidRDefault="002656F2" w:rsidP="002656F2">
      <w:pPr>
        <w:spacing w:after="0" w:line="240" w:lineRule="auto"/>
        <w:jc w:val="both"/>
        <w:rPr>
          <w:rFonts w:ascii="Arial" w:eastAsia="Times New Roman" w:hAnsi="Arial" w:cs="Arial"/>
          <w:color w:val="000000"/>
          <w:sz w:val="18"/>
          <w:szCs w:val="18"/>
          <w:lang w:eastAsia="es-ES"/>
        </w:rPr>
      </w:pPr>
      <w:r w:rsidRPr="002656F2">
        <w:rPr>
          <w:rFonts w:ascii="Segoe UI" w:eastAsia="Times New Roman" w:hAnsi="Segoe UI" w:cs="Segoe UI"/>
          <w:color w:val="000000"/>
          <w:sz w:val="18"/>
          <w:szCs w:val="18"/>
          <w:lang w:val="es-CO" w:eastAsia="es-ES"/>
        </w:rPr>
        <w:t>También el </w:t>
      </w:r>
      <w:hyperlink r:id="rId31" w:tooltip="Estatuto Tributario CETA" w:history="1">
        <w:r w:rsidRPr="002656F2">
          <w:rPr>
            <w:rFonts w:ascii="Segoe UI" w:eastAsia="Times New Roman" w:hAnsi="Segoe UI" w:cs="Segoe UI"/>
            <w:color w:val="0089E1"/>
            <w:sz w:val="18"/>
            <w:szCs w:val="18"/>
            <w:lang w:val="es-CO" w:eastAsia="es-ES"/>
          </w:rPr>
          <w:t>artículo 705-1</w:t>
        </w:r>
      </w:hyperlink>
      <w:r w:rsidRPr="002656F2">
        <w:rPr>
          <w:rFonts w:ascii="Segoe UI" w:eastAsia="Times New Roman" w:hAnsi="Segoe UI" w:cs="Segoe UI"/>
          <w:color w:val="000000"/>
          <w:sz w:val="18"/>
          <w:szCs w:val="18"/>
          <w:lang w:val="es-CO" w:eastAsia="es-ES"/>
        </w:rPr>
        <w:t> </w:t>
      </w:r>
      <w:proofErr w:type="spellStart"/>
      <w:r w:rsidRPr="002656F2">
        <w:rPr>
          <w:rFonts w:ascii="Segoe UI" w:eastAsia="Times New Roman" w:hAnsi="Segoe UI" w:cs="Segoe UI"/>
          <w:i/>
          <w:iCs/>
          <w:color w:val="000000"/>
          <w:sz w:val="18"/>
          <w:szCs w:val="18"/>
          <w:lang w:val="es-CO" w:eastAsia="es-ES"/>
        </w:rPr>
        <w:t>ibídem</w:t>
      </w:r>
      <w:proofErr w:type="spellEnd"/>
      <w:r w:rsidRPr="002656F2">
        <w:rPr>
          <w:rFonts w:ascii="Segoe UI" w:eastAsia="Times New Roman" w:hAnsi="Segoe UI" w:cs="Segoe UI"/>
          <w:color w:val="000000"/>
          <w:sz w:val="18"/>
          <w:szCs w:val="18"/>
          <w:lang w:val="es-CO" w:eastAsia="es-ES"/>
        </w:rPr>
        <w:t>, señala que los términos para notificar el requerimiento especial y para que queden en firme las declaraciones de impuesto sobre las ventas- IVA y retención en la fuente, a que se refieren los artículos </w:t>
      </w:r>
      <w:hyperlink r:id="rId32" w:tooltip="Estatuto Tributario CETA" w:history="1">
        <w:r w:rsidRPr="002656F2">
          <w:rPr>
            <w:rFonts w:ascii="Segoe UI" w:eastAsia="Times New Roman" w:hAnsi="Segoe UI" w:cs="Segoe UI"/>
            <w:color w:val="0089E1"/>
            <w:sz w:val="18"/>
            <w:szCs w:val="18"/>
            <w:lang w:val="es-CO" w:eastAsia="es-ES"/>
          </w:rPr>
          <w:t>705</w:t>
        </w:r>
      </w:hyperlink>
      <w:r w:rsidRPr="002656F2">
        <w:rPr>
          <w:rFonts w:ascii="Segoe UI" w:eastAsia="Times New Roman" w:hAnsi="Segoe UI" w:cs="Segoe UI"/>
          <w:color w:val="000000"/>
          <w:sz w:val="18"/>
          <w:szCs w:val="18"/>
          <w:lang w:val="es-CO" w:eastAsia="es-ES"/>
        </w:rPr>
        <w:t> y </w:t>
      </w:r>
      <w:hyperlink r:id="rId33" w:tooltip="Estatuto Tributario CETA" w:history="1">
        <w:r w:rsidRPr="002656F2">
          <w:rPr>
            <w:rFonts w:ascii="Segoe UI" w:eastAsia="Times New Roman" w:hAnsi="Segoe UI" w:cs="Segoe UI"/>
            <w:color w:val="0089E1"/>
            <w:sz w:val="18"/>
            <w:szCs w:val="18"/>
            <w:lang w:val="es-CO" w:eastAsia="es-ES"/>
          </w:rPr>
          <w:t>714</w:t>
        </w:r>
      </w:hyperlink>
      <w:r w:rsidRPr="002656F2">
        <w:rPr>
          <w:rFonts w:ascii="Segoe UI" w:eastAsia="Times New Roman" w:hAnsi="Segoe UI" w:cs="Segoe UI"/>
          <w:color w:val="000000"/>
          <w:sz w:val="18"/>
          <w:szCs w:val="18"/>
          <w:lang w:val="es-CO" w:eastAsia="es-ES"/>
        </w:rPr>
        <w:t> del Estatuto Tributario, son los mismos que correspondan a la declaración de renta respecto de aquellos períodos que coincidan con el respectivo año gravable.</w:t>
      </w:r>
    </w:p>
    <w:p w14:paraId="52DE9852" w14:textId="77777777" w:rsidR="002656F2" w:rsidRPr="002656F2" w:rsidRDefault="002656F2" w:rsidP="002656F2">
      <w:pPr>
        <w:spacing w:after="0" w:line="240" w:lineRule="auto"/>
        <w:jc w:val="both"/>
        <w:rPr>
          <w:rFonts w:ascii="Arial" w:eastAsia="Times New Roman" w:hAnsi="Arial" w:cs="Arial"/>
          <w:color w:val="000000"/>
          <w:sz w:val="18"/>
          <w:szCs w:val="18"/>
          <w:lang w:eastAsia="es-ES"/>
        </w:rPr>
      </w:pPr>
      <w:r w:rsidRPr="002656F2">
        <w:rPr>
          <w:rFonts w:ascii="Segoe UI" w:eastAsia="Times New Roman" w:hAnsi="Segoe UI" w:cs="Segoe UI"/>
          <w:color w:val="000000"/>
          <w:sz w:val="18"/>
          <w:szCs w:val="18"/>
          <w:lang w:val="es-CO" w:eastAsia="es-ES"/>
        </w:rPr>
        <w:t> </w:t>
      </w:r>
    </w:p>
    <w:p w14:paraId="4086546F" w14:textId="77777777" w:rsidR="002656F2" w:rsidRPr="002656F2" w:rsidRDefault="002656F2" w:rsidP="002656F2">
      <w:pPr>
        <w:spacing w:after="0" w:line="240" w:lineRule="auto"/>
        <w:jc w:val="both"/>
        <w:rPr>
          <w:rFonts w:ascii="Arial" w:eastAsia="Times New Roman" w:hAnsi="Arial" w:cs="Arial"/>
          <w:color w:val="000000"/>
          <w:sz w:val="18"/>
          <w:szCs w:val="18"/>
          <w:lang w:eastAsia="es-ES"/>
        </w:rPr>
      </w:pPr>
      <w:r w:rsidRPr="002656F2">
        <w:rPr>
          <w:rFonts w:ascii="Segoe UI" w:eastAsia="Times New Roman" w:hAnsi="Segoe UI" w:cs="Segoe UI"/>
          <w:color w:val="000000"/>
          <w:sz w:val="18"/>
          <w:szCs w:val="18"/>
          <w:lang w:val="es-CO" w:eastAsia="es-ES"/>
        </w:rPr>
        <w:lastRenderedPageBreak/>
        <w:t>La mención anterior es relevante para efectos de resolver la pregunta inicial formulada por el peticionario, pues la declaración de IVA tercer cuatrimestre del año 2016 debe atender a la firmeza de la declaración de renta correspondiente a ese año. Ahora, se reitera que el emplazamiento para corregir se puede proferir en cualquier tiempo, siempre y cuando no haya operado la firmeza de la declaración tributaria, y que la validez de la declaración de corrección presentada a instancia de este emplazamiento no está sujeta al término previsto en el inciso 1 del </w:t>
      </w:r>
      <w:hyperlink r:id="rId34" w:tooltip="Estatuto Tributario CETA" w:history="1">
        <w:r w:rsidRPr="002656F2">
          <w:rPr>
            <w:rFonts w:ascii="Segoe UI" w:eastAsia="Times New Roman" w:hAnsi="Segoe UI" w:cs="Segoe UI"/>
            <w:color w:val="0089E1"/>
            <w:sz w:val="18"/>
            <w:szCs w:val="18"/>
            <w:lang w:val="es-CO" w:eastAsia="es-ES"/>
          </w:rPr>
          <w:t>artículo 588</w:t>
        </w:r>
      </w:hyperlink>
      <w:r w:rsidRPr="002656F2">
        <w:rPr>
          <w:rFonts w:ascii="Segoe UI" w:eastAsia="Times New Roman" w:hAnsi="Segoe UI" w:cs="Segoe UI"/>
          <w:color w:val="000000"/>
          <w:sz w:val="18"/>
          <w:szCs w:val="18"/>
          <w:lang w:val="es-CO" w:eastAsia="es-ES"/>
        </w:rPr>
        <w:t> del Estatuto Tributario, sino al cumplimiento de los requisitos del artículo 685 </w:t>
      </w:r>
      <w:proofErr w:type="spellStart"/>
      <w:r w:rsidRPr="002656F2">
        <w:rPr>
          <w:rFonts w:ascii="Segoe UI" w:eastAsia="Times New Roman" w:hAnsi="Segoe UI" w:cs="Segoe UI"/>
          <w:i/>
          <w:iCs/>
          <w:color w:val="000000"/>
          <w:sz w:val="18"/>
          <w:szCs w:val="18"/>
          <w:lang w:val="es-CO" w:eastAsia="es-ES"/>
        </w:rPr>
        <w:t>ibídem</w:t>
      </w:r>
      <w:proofErr w:type="spellEnd"/>
      <w:r w:rsidRPr="002656F2">
        <w:rPr>
          <w:rFonts w:ascii="Segoe UI" w:eastAsia="Times New Roman" w:hAnsi="Segoe UI" w:cs="Segoe UI"/>
          <w:color w:val="000000"/>
          <w:sz w:val="18"/>
          <w:szCs w:val="18"/>
          <w:lang w:val="es-CO" w:eastAsia="es-ES"/>
        </w:rPr>
        <w:t>.</w:t>
      </w:r>
    </w:p>
    <w:p w14:paraId="7C620D92" w14:textId="77777777" w:rsidR="002656F2" w:rsidRPr="002656F2" w:rsidRDefault="002656F2" w:rsidP="002656F2">
      <w:pPr>
        <w:spacing w:after="0" w:line="240" w:lineRule="auto"/>
        <w:jc w:val="both"/>
        <w:rPr>
          <w:rFonts w:ascii="Arial" w:eastAsia="Times New Roman" w:hAnsi="Arial" w:cs="Arial"/>
          <w:color w:val="000000"/>
          <w:sz w:val="18"/>
          <w:szCs w:val="18"/>
          <w:lang w:eastAsia="es-ES"/>
        </w:rPr>
      </w:pPr>
      <w:r w:rsidRPr="002656F2">
        <w:rPr>
          <w:rFonts w:ascii="Segoe UI" w:eastAsia="Times New Roman" w:hAnsi="Segoe UI" w:cs="Segoe UI"/>
          <w:color w:val="000000"/>
          <w:sz w:val="18"/>
          <w:szCs w:val="18"/>
          <w:lang w:val="es-CO" w:eastAsia="es-ES"/>
        </w:rPr>
        <w:t> </w:t>
      </w:r>
    </w:p>
    <w:p w14:paraId="58AFA5C7" w14:textId="77777777" w:rsidR="002656F2" w:rsidRPr="002656F2" w:rsidRDefault="002656F2" w:rsidP="002656F2">
      <w:pPr>
        <w:spacing w:after="0" w:line="240" w:lineRule="auto"/>
        <w:jc w:val="both"/>
        <w:rPr>
          <w:rFonts w:ascii="Arial" w:eastAsia="Times New Roman" w:hAnsi="Arial" w:cs="Arial"/>
          <w:color w:val="000000"/>
          <w:sz w:val="18"/>
          <w:szCs w:val="18"/>
          <w:lang w:eastAsia="es-ES"/>
        </w:rPr>
      </w:pPr>
      <w:r w:rsidRPr="002656F2">
        <w:rPr>
          <w:rFonts w:ascii="Segoe UI" w:eastAsia="Times New Roman" w:hAnsi="Segoe UI" w:cs="Segoe UI"/>
          <w:color w:val="000000"/>
          <w:sz w:val="18"/>
          <w:szCs w:val="18"/>
          <w:lang w:val="es-CO" w:eastAsia="es-ES"/>
        </w:rPr>
        <w:t>En los anteriores términos se resuelve su solicitud y finalmente le manifestamos que la Dirección de Impuestos y Aduanas Nacionales -DIAN-, con el fin de facilitar a los contribuyentes, usuarios y público en general el acceso directo a sus pronunciamientos doctrinarios, ha publicado en su página de internet </w:t>
      </w:r>
      <w:hyperlink r:id="rId35" w:history="1">
        <w:r w:rsidRPr="002656F2">
          <w:rPr>
            <w:rFonts w:ascii="Segoe UI" w:eastAsia="Times New Roman" w:hAnsi="Segoe UI" w:cs="Segoe UI"/>
            <w:color w:val="0563C1"/>
            <w:sz w:val="18"/>
            <w:szCs w:val="18"/>
            <w:lang w:val="es-CO" w:eastAsia="es-ES"/>
          </w:rPr>
          <w:t>www.dian.gov.co</w:t>
        </w:r>
      </w:hyperlink>
      <w:r w:rsidRPr="002656F2">
        <w:rPr>
          <w:rFonts w:ascii="Segoe UI" w:eastAsia="Times New Roman" w:hAnsi="Segoe UI" w:cs="Segoe UI"/>
          <w:color w:val="000000"/>
          <w:sz w:val="18"/>
          <w:szCs w:val="18"/>
          <w:lang w:val="es-CO" w:eastAsia="es-ES"/>
        </w:rPr>
        <w:t xml:space="preserve">, la base de conceptos en materia tributaria, aduanera y cambiaria expedidos desde el año 2001, la cual se puede ingresar por el ícono de “Normatividad”–“técnica”–, dando </w:t>
      </w:r>
      <w:proofErr w:type="spellStart"/>
      <w:r w:rsidRPr="002656F2">
        <w:rPr>
          <w:rFonts w:ascii="Segoe UI" w:eastAsia="Times New Roman" w:hAnsi="Segoe UI" w:cs="Segoe UI"/>
          <w:color w:val="000000"/>
          <w:sz w:val="18"/>
          <w:szCs w:val="18"/>
          <w:lang w:val="es-CO" w:eastAsia="es-ES"/>
        </w:rPr>
        <w:t>click</w:t>
      </w:r>
      <w:proofErr w:type="spellEnd"/>
      <w:r w:rsidRPr="002656F2">
        <w:rPr>
          <w:rFonts w:ascii="Segoe UI" w:eastAsia="Times New Roman" w:hAnsi="Segoe UI" w:cs="Segoe UI"/>
          <w:color w:val="000000"/>
          <w:sz w:val="18"/>
          <w:szCs w:val="18"/>
          <w:lang w:val="es-CO" w:eastAsia="es-ES"/>
        </w:rPr>
        <w:t xml:space="preserve"> en el link “Doctrina Dirección de Gestión Jurídica”.</w:t>
      </w:r>
    </w:p>
    <w:p w14:paraId="6577BA5A" w14:textId="77777777" w:rsidR="002656F2" w:rsidRPr="002656F2" w:rsidRDefault="002656F2" w:rsidP="002656F2">
      <w:pPr>
        <w:spacing w:after="0" w:line="240" w:lineRule="auto"/>
        <w:jc w:val="both"/>
        <w:rPr>
          <w:rFonts w:ascii="Arial" w:eastAsia="Times New Roman" w:hAnsi="Arial" w:cs="Arial"/>
          <w:color w:val="000000"/>
          <w:sz w:val="18"/>
          <w:szCs w:val="18"/>
          <w:lang w:eastAsia="es-ES"/>
        </w:rPr>
      </w:pPr>
      <w:r w:rsidRPr="002656F2">
        <w:rPr>
          <w:rFonts w:ascii="Segoe UI" w:eastAsia="Times New Roman" w:hAnsi="Segoe UI" w:cs="Segoe UI"/>
          <w:color w:val="000000"/>
          <w:sz w:val="18"/>
          <w:szCs w:val="18"/>
          <w:lang w:val="es-CO" w:eastAsia="es-ES"/>
        </w:rPr>
        <w:t> </w:t>
      </w:r>
    </w:p>
    <w:p w14:paraId="3D350096" w14:textId="77777777" w:rsidR="002656F2" w:rsidRPr="002656F2" w:rsidRDefault="002656F2" w:rsidP="002656F2">
      <w:pPr>
        <w:spacing w:after="0" w:line="240" w:lineRule="auto"/>
        <w:jc w:val="both"/>
        <w:rPr>
          <w:rFonts w:ascii="Arial" w:eastAsia="Times New Roman" w:hAnsi="Arial" w:cs="Arial"/>
          <w:color w:val="000000"/>
          <w:sz w:val="18"/>
          <w:szCs w:val="18"/>
          <w:lang w:eastAsia="es-ES"/>
        </w:rPr>
      </w:pPr>
      <w:r w:rsidRPr="002656F2">
        <w:rPr>
          <w:rFonts w:ascii="Segoe UI" w:eastAsia="Times New Roman" w:hAnsi="Segoe UI" w:cs="Segoe UI"/>
          <w:color w:val="000000"/>
          <w:sz w:val="18"/>
          <w:szCs w:val="18"/>
          <w:lang w:val="es-CO" w:eastAsia="es-ES"/>
        </w:rPr>
        <w:t>Atentamente,</w:t>
      </w:r>
    </w:p>
    <w:p w14:paraId="356457EE" w14:textId="77777777" w:rsidR="002656F2" w:rsidRPr="002656F2" w:rsidRDefault="002656F2" w:rsidP="002656F2">
      <w:pPr>
        <w:spacing w:after="0" w:line="240" w:lineRule="auto"/>
        <w:jc w:val="both"/>
        <w:rPr>
          <w:rFonts w:ascii="Arial" w:eastAsia="Times New Roman" w:hAnsi="Arial" w:cs="Arial"/>
          <w:color w:val="000000"/>
          <w:sz w:val="18"/>
          <w:szCs w:val="18"/>
          <w:lang w:eastAsia="es-ES"/>
        </w:rPr>
      </w:pPr>
      <w:r w:rsidRPr="002656F2">
        <w:rPr>
          <w:rFonts w:ascii="Segoe UI" w:eastAsia="Times New Roman" w:hAnsi="Segoe UI" w:cs="Segoe UI"/>
          <w:b/>
          <w:bCs/>
          <w:color w:val="000000"/>
          <w:sz w:val="18"/>
          <w:szCs w:val="18"/>
          <w:lang w:val="es-CO" w:eastAsia="es-ES"/>
        </w:rPr>
        <w:t> </w:t>
      </w:r>
    </w:p>
    <w:p w14:paraId="658E0C57" w14:textId="77777777" w:rsidR="002656F2" w:rsidRPr="002656F2" w:rsidRDefault="002656F2" w:rsidP="002656F2">
      <w:pPr>
        <w:spacing w:after="0" w:line="240" w:lineRule="auto"/>
        <w:jc w:val="both"/>
        <w:rPr>
          <w:rFonts w:ascii="Arial" w:eastAsia="Times New Roman" w:hAnsi="Arial" w:cs="Arial"/>
          <w:color w:val="000000"/>
          <w:sz w:val="18"/>
          <w:szCs w:val="18"/>
          <w:lang w:eastAsia="es-ES"/>
        </w:rPr>
      </w:pPr>
      <w:r w:rsidRPr="002656F2">
        <w:rPr>
          <w:rFonts w:ascii="Segoe UI" w:eastAsia="Times New Roman" w:hAnsi="Segoe UI" w:cs="Segoe UI"/>
          <w:b/>
          <w:bCs/>
          <w:color w:val="000000"/>
          <w:sz w:val="18"/>
          <w:szCs w:val="18"/>
          <w:lang w:val="es-CO" w:eastAsia="es-ES"/>
        </w:rPr>
        <w:t> </w:t>
      </w:r>
    </w:p>
    <w:p w14:paraId="157C5F5E" w14:textId="77777777" w:rsidR="002656F2" w:rsidRPr="002656F2" w:rsidRDefault="002656F2" w:rsidP="002656F2">
      <w:pPr>
        <w:spacing w:after="0" w:line="240" w:lineRule="auto"/>
        <w:jc w:val="both"/>
        <w:rPr>
          <w:rFonts w:ascii="Arial" w:eastAsia="Times New Roman" w:hAnsi="Arial" w:cs="Arial"/>
          <w:color w:val="000000"/>
          <w:sz w:val="18"/>
          <w:szCs w:val="18"/>
          <w:lang w:eastAsia="es-ES"/>
        </w:rPr>
      </w:pPr>
      <w:r w:rsidRPr="002656F2">
        <w:rPr>
          <w:rFonts w:ascii="Segoe UI" w:eastAsia="Times New Roman" w:hAnsi="Segoe UI" w:cs="Segoe UI"/>
          <w:b/>
          <w:bCs/>
          <w:color w:val="000000"/>
          <w:sz w:val="18"/>
          <w:szCs w:val="18"/>
          <w:lang w:val="es-CO" w:eastAsia="es-ES"/>
        </w:rPr>
        <w:t>NICOLÁS BERNAL ABELLA</w:t>
      </w:r>
    </w:p>
    <w:p w14:paraId="5F6352FE" w14:textId="77777777" w:rsidR="002656F2" w:rsidRPr="002656F2" w:rsidRDefault="002656F2" w:rsidP="002656F2">
      <w:pPr>
        <w:spacing w:after="0" w:line="240" w:lineRule="auto"/>
        <w:jc w:val="both"/>
        <w:rPr>
          <w:rFonts w:ascii="Arial" w:eastAsia="Times New Roman" w:hAnsi="Arial" w:cs="Arial"/>
          <w:color w:val="000000"/>
          <w:sz w:val="18"/>
          <w:szCs w:val="18"/>
          <w:lang w:eastAsia="es-ES"/>
        </w:rPr>
      </w:pPr>
      <w:r w:rsidRPr="002656F2">
        <w:rPr>
          <w:rFonts w:ascii="Segoe UI" w:eastAsia="Times New Roman" w:hAnsi="Segoe UI" w:cs="Segoe UI"/>
          <w:color w:val="000000"/>
          <w:sz w:val="18"/>
          <w:szCs w:val="18"/>
          <w:lang w:val="es-CO" w:eastAsia="es-ES"/>
        </w:rPr>
        <w:t>Subdirector de Gestión Normativa y Doctrina (E)</w:t>
      </w:r>
    </w:p>
    <w:p w14:paraId="0073BCCF" w14:textId="77777777" w:rsidR="002656F2" w:rsidRPr="002656F2" w:rsidRDefault="002656F2" w:rsidP="002656F2">
      <w:pPr>
        <w:spacing w:after="0" w:line="240" w:lineRule="auto"/>
        <w:jc w:val="both"/>
        <w:rPr>
          <w:rFonts w:ascii="Arial" w:eastAsia="Times New Roman" w:hAnsi="Arial" w:cs="Arial"/>
          <w:color w:val="000000"/>
          <w:sz w:val="18"/>
          <w:szCs w:val="18"/>
          <w:lang w:eastAsia="es-ES"/>
        </w:rPr>
      </w:pPr>
      <w:r w:rsidRPr="002656F2">
        <w:rPr>
          <w:rFonts w:ascii="Segoe UI" w:eastAsia="Times New Roman" w:hAnsi="Segoe UI" w:cs="Segoe UI"/>
          <w:color w:val="000000"/>
          <w:sz w:val="18"/>
          <w:szCs w:val="18"/>
          <w:lang w:val="es-CO" w:eastAsia="es-ES"/>
        </w:rPr>
        <w:t>Dirección de Gestión Jurídica</w:t>
      </w:r>
    </w:p>
    <w:p w14:paraId="731EFF34" w14:textId="77777777" w:rsidR="002656F2" w:rsidRPr="002656F2" w:rsidRDefault="002656F2" w:rsidP="002656F2">
      <w:pPr>
        <w:spacing w:after="0" w:line="240" w:lineRule="auto"/>
        <w:jc w:val="both"/>
        <w:rPr>
          <w:rFonts w:ascii="Arial" w:eastAsia="Times New Roman" w:hAnsi="Arial" w:cs="Arial"/>
          <w:color w:val="000000"/>
          <w:sz w:val="18"/>
          <w:szCs w:val="18"/>
          <w:lang w:eastAsia="es-ES"/>
        </w:rPr>
      </w:pPr>
      <w:r w:rsidRPr="002656F2">
        <w:rPr>
          <w:rFonts w:ascii="Segoe UI" w:eastAsia="Times New Roman" w:hAnsi="Segoe UI" w:cs="Segoe UI"/>
          <w:color w:val="000000"/>
          <w:sz w:val="18"/>
          <w:szCs w:val="18"/>
          <w:lang w:val="es-CO" w:eastAsia="es-ES"/>
        </w:rPr>
        <w:t>UAE- Dirección de Impuestos y Aduanas Nacionales</w:t>
      </w:r>
    </w:p>
    <w:sectPr w:rsidR="002656F2" w:rsidRPr="002656F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5152"/>
    <w:rsid w:val="001F1FBB"/>
    <w:rsid w:val="00201EA3"/>
    <w:rsid w:val="002656F2"/>
    <w:rsid w:val="00325152"/>
    <w:rsid w:val="008B0601"/>
    <w:rsid w:val="00CF29F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0C5E9E"/>
  <w15:chartTrackingRefBased/>
  <w15:docId w15:val="{112A087C-C522-4435-9D78-BE975270A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2656F2"/>
    <w:rPr>
      <w:color w:val="0563C1" w:themeColor="hyperlink"/>
      <w:u w:val="single"/>
    </w:rPr>
  </w:style>
  <w:style w:type="character" w:styleId="Mencinsinresolver">
    <w:name w:val="Unresolved Mention"/>
    <w:basedOn w:val="Fuentedeprrafopredeter"/>
    <w:uiPriority w:val="99"/>
    <w:semiHidden/>
    <w:unhideWhenUsed/>
    <w:rsid w:val="002656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9828912">
      <w:bodyDiv w:val="1"/>
      <w:marLeft w:val="0"/>
      <w:marRight w:val="0"/>
      <w:marTop w:val="0"/>
      <w:marBottom w:val="0"/>
      <w:divBdr>
        <w:top w:val="none" w:sz="0" w:space="0" w:color="auto"/>
        <w:left w:val="none" w:sz="0" w:space="0" w:color="auto"/>
        <w:bottom w:val="none" w:sz="0" w:space="0" w:color="auto"/>
        <w:right w:val="none" w:sz="0" w:space="0" w:color="auto"/>
      </w:divBdr>
    </w:div>
    <w:div w:id="431701777">
      <w:bodyDiv w:val="1"/>
      <w:marLeft w:val="0"/>
      <w:marRight w:val="0"/>
      <w:marTop w:val="0"/>
      <w:marBottom w:val="0"/>
      <w:divBdr>
        <w:top w:val="none" w:sz="0" w:space="0" w:color="auto"/>
        <w:left w:val="none" w:sz="0" w:space="0" w:color="auto"/>
        <w:bottom w:val="none" w:sz="0" w:space="0" w:color="auto"/>
        <w:right w:val="none" w:sz="0" w:space="0" w:color="auto"/>
      </w:divBdr>
    </w:div>
    <w:div w:id="1046875575">
      <w:bodyDiv w:val="1"/>
      <w:marLeft w:val="0"/>
      <w:marRight w:val="0"/>
      <w:marTop w:val="0"/>
      <w:marBottom w:val="0"/>
      <w:divBdr>
        <w:top w:val="none" w:sz="0" w:space="0" w:color="auto"/>
        <w:left w:val="none" w:sz="0" w:space="0" w:color="auto"/>
        <w:bottom w:val="none" w:sz="0" w:space="0" w:color="auto"/>
        <w:right w:val="none" w:sz="0" w:space="0" w:color="auto"/>
      </w:divBdr>
    </w:div>
    <w:div w:id="1499618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eta.org.co/html/vista_de_un_articulo.asp?Norma=889" TargetMode="External"/><Relationship Id="rId18" Type="http://schemas.openxmlformats.org/officeDocument/2006/relationships/hyperlink" Target="https://www.ceta.org.co/html/vista_de_un_articulo.asp?Norma=889" TargetMode="External"/><Relationship Id="rId26" Type="http://schemas.openxmlformats.org/officeDocument/2006/relationships/hyperlink" Target="https://www.ceta.org.co/html/vista_de_un_articulo.asp?Norma=855" TargetMode="External"/><Relationship Id="rId21" Type="http://schemas.openxmlformats.org/officeDocument/2006/relationships/hyperlink" Target="https://www.ceta.org.co/html/vista_de_un_articulo.asp?Norma=725" TargetMode="External"/><Relationship Id="rId34" Type="http://schemas.openxmlformats.org/officeDocument/2006/relationships/hyperlink" Target="https://www.ceta.org.co/html/vista_de_un_articulo.asp?Norma=725" TargetMode="External"/><Relationship Id="rId7" Type="http://schemas.openxmlformats.org/officeDocument/2006/relationships/hyperlink" Target="https://www.ceta.org.co/html/vista_de_un_articulo.asp?Norma=880" TargetMode="External"/><Relationship Id="rId12" Type="http://schemas.openxmlformats.org/officeDocument/2006/relationships/hyperlink" Target="https://www.ceta.org.co/html/vista_de_un_articulo.asp?Norma=884" TargetMode="External"/><Relationship Id="rId17" Type="http://schemas.openxmlformats.org/officeDocument/2006/relationships/hyperlink" Target="https://www.ceta.org.co/html/vista_de_un_articulo.asp?Norma=884" TargetMode="External"/><Relationship Id="rId25" Type="http://schemas.openxmlformats.org/officeDocument/2006/relationships/hyperlink" Target="https://www.ceta.org.co/html/vista_de_un_articulo.asp?Norma=855" TargetMode="External"/><Relationship Id="rId33" Type="http://schemas.openxmlformats.org/officeDocument/2006/relationships/hyperlink" Target="https://www.ceta.org.co/html/vista_de_un_articulo.asp?Norma=890" TargetMode="External"/><Relationship Id="rId2" Type="http://schemas.openxmlformats.org/officeDocument/2006/relationships/settings" Target="settings.xml"/><Relationship Id="rId16" Type="http://schemas.openxmlformats.org/officeDocument/2006/relationships/hyperlink" Target="https://www.ceta.org.co/html/vista_de_un_articulo.asp?Norma=726" TargetMode="External"/><Relationship Id="rId20" Type="http://schemas.openxmlformats.org/officeDocument/2006/relationships/hyperlink" Target="https://www.ceta.org.co/html/vista_de_un_articulo.asp?Norma=889" TargetMode="External"/><Relationship Id="rId29" Type="http://schemas.openxmlformats.org/officeDocument/2006/relationships/hyperlink" Target="https://www.ceta.org.co/html/vista_de_un_articulo.asp?Norma=890" TargetMode="External"/><Relationship Id="rId1" Type="http://schemas.openxmlformats.org/officeDocument/2006/relationships/styles" Target="styles.xml"/><Relationship Id="rId6" Type="http://schemas.openxmlformats.org/officeDocument/2006/relationships/hyperlink" Target="https://www.ceta.org.co/html/vista_de_un_articulo.asp?Norma=855" TargetMode="External"/><Relationship Id="rId11" Type="http://schemas.openxmlformats.org/officeDocument/2006/relationships/hyperlink" Target="https://www.ceta.org.co/html/vista_de_un_articulo.asp?Norma=726" TargetMode="External"/><Relationship Id="rId24" Type="http://schemas.openxmlformats.org/officeDocument/2006/relationships/hyperlink" Target="https://www.ceta.org.co/html/vista_de_un_articulo.asp?Norma=726" TargetMode="External"/><Relationship Id="rId32" Type="http://schemas.openxmlformats.org/officeDocument/2006/relationships/hyperlink" Target="https://www.ceta.org.co/html/vista_de_un_articulo.asp?Norma=879" TargetMode="External"/><Relationship Id="rId37" Type="http://schemas.openxmlformats.org/officeDocument/2006/relationships/theme" Target="theme/theme1.xml"/><Relationship Id="rId5" Type="http://schemas.openxmlformats.org/officeDocument/2006/relationships/hyperlink" Target="https://www.ceta.org.co/html/vista_de_un_articulo.asp?Norma=728" TargetMode="External"/><Relationship Id="rId15" Type="http://schemas.openxmlformats.org/officeDocument/2006/relationships/hyperlink" Target="https://www.ceta.org.co/html/vista_de_un_articulo.asp?Norma=725" TargetMode="External"/><Relationship Id="rId23" Type="http://schemas.openxmlformats.org/officeDocument/2006/relationships/hyperlink" Target="https://www.ceta.org.co/html/vista_de_un_articulo.asp?Norma=725" TargetMode="External"/><Relationship Id="rId28" Type="http://schemas.openxmlformats.org/officeDocument/2006/relationships/hyperlink" Target="https://www.ceta.org.co/html/vista_de_un_articulo.asp?Norma=726" TargetMode="External"/><Relationship Id="rId36" Type="http://schemas.openxmlformats.org/officeDocument/2006/relationships/fontTable" Target="fontTable.xml"/><Relationship Id="rId10" Type="http://schemas.openxmlformats.org/officeDocument/2006/relationships/hyperlink" Target="https://www.ceta.org.co/html/vista_de_un_articulo.asp?Norma=725" TargetMode="External"/><Relationship Id="rId19" Type="http://schemas.openxmlformats.org/officeDocument/2006/relationships/hyperlink" Target="https://www.ceta.org.co/html/vista_de_un_articulo.asp?Norma=884" TargetMode="External"/><Relationship Id="rId31" Type="http://schemas.openxmlformats.org/officeDocument/2006/relationships/hyperlink" Target="https://www.ceta.org.co/html/vista_de_un_articulo.asp?Norma=880" TargetMode="External"/><Relationship Id="rId4" Type="http://schemas.openxmlformats.org/officeDocument/2006/relationships/hyperlink" Target="https://www.ceta.org.co/html/vista_de_un_articulo.asp?Norma=725" TargetMode="External"/><Relationship Id="rId9" Type="http://schemas.openxmlformats.org/officeDocument/2006/relationships/hyperlink" Target="https://www.ceta.org.co/html/vista_de_un_articulo.asp?Norma=725" TargetMode="External"/><Relationship Id="rId14" Type="http://schemas.openxmlformats.org/officeDocument/2006/relationships/hyperlink" Target="https://www.ceta.org.co/html/vista_de_un_articulo.asp?Norma=725" TargetMode="External"/><Relationship Id="rId22" Type="http://schemas.openxmlformats.org/officeDocument/2006/relationships/hyperlink" Target="https://www.ceta.org.co/html/vista_de_un_articulo.asp?Norma=726" TargetMode="External"/><Relationship Id="rId27" Type="http://schemas.openxmlformats.org/officeDocument/2006/relationships/hyperlink" Target="https://www.ceta.org.co/html/vista_de_un_articulo.asp?Norma=725" TargetMode="External"/><Relationship Id="rId30" Type="http://schemas.openxmlformats.org/officeDocument/2006/relationships/hyperlink" Target="https://www.ceta.org.co/html/vista_de_un_articulo.asp?Norma=890" TargetMode="External"/><Relationship Id="rId35" Type="http://schemas.openxmlformats.org/officeDocument/2006/relationships/hyperlink" Target="http://www.dian.gov.co/" TargetMode="External"/><Relationship Id="rId8" Type="http://schemas.openxmlformats.org/officeDocument/2006/relationships/hyperlink" Target="https://www.ceta.org.co/html/vista_de_un_articulo.asp?Norma=890" TargetMode="External"/><Relationship Id="rId3"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2501</Words>
  <Characters>13761</Characters>
  <Application>Microsoft Office Word</Application>
  <DocSecurity>0</DocSecurity>
  <Lines>114</Lines>
  <Paragraphs>32</Paragraphs>
  <ScaleCrop>false</ScaleCrop>
  <Company/>
  <LinksUpToDate>false</LinksUpToDate>
  <CharactersWithSpaces>16230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Hugo Tapasco Duque</dc:creator>
  <cp:keywords/>
  <dc:description/>
  <cp:lastModifiedBy>Victor Hugo Tapasco Duque</cp:lastModifiedBy>
  <cp:revision>2</cp:revision>
  <dcterms:created xsi:type="dcterms:W3CDTF">2022-07-25T15:32:00Z</dcterms:created>
  <dcterms:modified xsi:type="dcterms:W3CDTF">2022-07-25T15:32:00Z</dcterms:modified>
</cp:coreProperties>
</file>