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FFE79" w14:textId="77777777" w:rsidR="00656B54" w:rsidRPr="00656B54" w:rsidRDefault="00656B54" w:rsidP="00656B5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b/>
          <w:bCs/>
          <w:color w:val="0000FF"/>
          <w:sz w:val="28"/>
          <w:szCs w:val="28"/>
          <w:lang w:val="es-CO" w:eastAsia="es-ES"/>
        </w:rPr>
        <w:t xml:space="preserve">OFICIO </w:t>
      </w:r>
      <w:proofErr w:type="spellStart"/>
      <w:r w:rsidRPr="00656B54">
        <w:rPr>
          <w:rFonts w:ascii="Segoe UI" w:eastAsia="Times New Roman" w:hAnsi="Segoe UI" w:cs="Segoe UI"/>
          <w:b/>
          <w:bCs/>
          <w:color w:val="0000FF"/>
          <w:sz w:val="28"/>
          <w:szCs w:val="28"/>
          <w:lang w:val="es-CO" w:eastAsia="es-ES"/>
        </w:rPr>
        <w:t>Nº</w:t>
      </w:r>
      <w:proofErr w:type="spellEnd"/>
      <w:r w:rsidRPr="00656B54">
        <w:rPr>
          <w:rFonts w:ascii="Segoe UI" w:eastAsia="Times New Roman" w:hAnsi="Segoe UI" w:cs="Segoe UI"/>
          <w:b/>
          <w:bCs/>
          <w:color w:val="0000FF"/>
          <w:sz w:val="28"/>
          <w:szCs w:val="28"/>
          <w:lang w:val="es-CO" w:eastAsia="es-ES"/>
        </w:rPr>
        <w:t xml:space="preserve"> 622 [903750]</w:t>
      </w:r>
    </w:p>
    <w:p w14:paraId="12B22C85" w14:textId="77777777" w:rsidR="00656B54" w:rsidRPr="00656B54" w:rsidRDefault="00656B54" w:rsidP="00656B5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b/>
          <w:bCs/>
          <w:color w:val="0000FF"/>
          <w:sz w:val="28"/>
          <w:szCs w:val="28"/>
          <w:lang w:val="es-CO" w:eastAsia="es-ES"/>
        </w:rPr>
        <w:t>13-05-2022</w:t>
      </w:r>
    </w:p>
    <w:p w14:paraId="5862A582" w14:textId="77777777" w:rsidR="00656B54" w:rsidRPr="00656B54" w:rsidRDefault="00656B54" w:rsidP="00656B5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b/>
          <w:bCs/>
          <w:color w:val="0000FF"/>
          <w:sz w:val="28"/>
          <w:szCs w:val="28"/>
          <w:lang w:val="es-CO" w:eastAsia="es-ES"/>
        </w:rPr>
        <w:t>DIAN</w:t>
      </w:r>
    </w:p>
    <w:p w14:paraId="5B745919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198AEB00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01662D74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Subdirección de Normativa y Doctrina</w:t>
      </w:r>
    </w:p>
    <w:p w14:paraId="47EA756F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100208192-622</w:t>
      </w:r>
    </w:p>
    <w:p w14:paraId="08A8094E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Bogotá, D.C.</w:t>
      </w:r>
    </w:p>
    <w:p w14:paraId="3179BC72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263F235A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b/>
          <w:bCs/>
          <w:color w:val="000000"/>
          <w:lang w:val="es-CO" w:eastAsia="es-ES"/>
        </w:rPr>
        <w:t>Tema:</w:t>
      </w:r>
      <w:r w:rsidRPr="00656B54">
        <w:rPr>
          <w:rFonts w:ascii="Segoe UI" w:eastAsia="Times New Roman" w:hAnsi="Segoe UI" w:cs="Segoe UI"/>
          <w:color w:val="000000"/>
          <w:lang w:val="es-CO" w:eastAsia="es-ES"/>
        </w:rPr>
        <w:t> Impuesto sobre las ventas</w:t>
      </w:r>
    </w:p>
    <w:p w14:paraId="5F3C078A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b/>
          <w:bCs/>
          <w:color w:val="000000"/>
          <w:lang w:val="es-CO" w:eastAsia="es-ES"/>
        </w:rPr>
        <w:t>Descriptores: </w:t>
      </w:r>
      <w:r w:rsidRPr="00656B54">
        <w:rPr>
          <w:rFonts w:ascii="Segoe UI" w:eastAsia="Times New Roman" w:hAnsi="Segoe UI" w:cs="Segoe UI"/>
          <w:color w:val="000000"/>
          <w:lang w:val="es-CO" w:eastAsia="es-ES"/>
        </w:rPr>
        <w:t>Periodicidad - RUT</w:t>
      </w:r>
    </w:p>
    <w:p w14:paraId="1CFA1CCA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b/>
          <w:bCs/>
          <w:color w:val="000000"/>
          <w:lang w:val="es-CO" w:eastAsia="es-ES"/>
        </w:rPr>
        <w:t>Fuentes Formales: </w:t>
      </w:r>
      <w:r w:rsidRPr="00656B54">
        <w:rPr>
          <w:rFonts w:ascii="Segoe UI" w:eastAsia="Times New Roman" w:hAnsi="Segoe UI" w:cs="Segoe UI"/>
          <w:color w:val="000000"/>
          <w:lang w:val="es-CO" w:eastAsia="es-ES"/>
        </w:rPr>
        <w:t>Artículos </w:t>
      </w:r>
      <w:hyperlink r:id="rId4" w:tooltip="Estatuto Tributario CETA" w:history="1">
        <w:r w:rsidRPr="00656B54">
          <w:rPr>
            <w:rFonts w:ascii="Segoe UI" w:eastAsia="Times New Roman" w:hAnsi="Segoe UI" w:cs="Segoe UI"/>
            <w:color w:val="0089E1"/>
            <w:lang w:val="es-CO" w:eastAsia="es-ES"/>
          </w:rPr>
          <w:t>481</w:t>
        </w:r>
      </w:hyperlink>
      <w:r w:rsidRPr="00656B54">
        <w:rPr>
          <w:rFonts w:ascii="Segoe UI" w:eastAsia="Times New Roman" w:hAnsi="Segoe UI" w:cs="Segoe UI"/>
          <w:color w:val="000000"/>
          <w:lang w:val="es-CO" w:eastAsia="es-ES"/>
        </w:rPr>
        <w:t> y </w:t>
      </w:r>
      <w:hyperlink r:id="rId5" w:tooltip="Estatuto Tributario CETA" w:history="1">
        <w:r w:rsidRPr="00656B54">
          <w:rPr>
            <w:rFonts w:ascii="Segoe UI" w:eastAsia="Times New Roman" w:hAnsi="Segoe UI" w:cs="Segoe UI"/>
            <w:color w:val="0089E1"/>
            <w:lang w:val="es-CO" w:eastAsia="es-ES"/>
          </w:rPr>
          <w:t>600</w:t>
        </w:r>
      </w:hyperlink>
      <w:r w:rsidRPr="00656B54">
        <w:rPr>
          <w:rFonts w:ascii="Segoe UI" w:eastAsia="Times New Roman" w:hAnsi="Segoe UI" w:cs="Segoe UI"/>
          <w:color w:val="000000"/>
          <w:lang w:val="es-CO" w:eastAsia="es-ES"/>
        </w:rPr>
        <w:t> del Estatuto Tributario</w:t>
      </w:r>
    </w:p>
    <w:p w14:paraId="422F3B30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28FE770E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Cordial saludo,</w:t>
      </w:r>
    </w:p>
    <w:p w14:paraId="452A2D07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7E0E3051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De conformidad con el artículo 56 del Decreto 1742 de 2020, este Despacho está facultado para absolver las consultas escritas generales que se formulen sobre la interpretación y aplicación de las normas tributarias, aduaneras y de fiscalización cambiaria, en el marco de las competencias de la Dirección de Impuestos y Aduanas Nacionales. Por consiguiente, no corresponde a este Despacho, en ejercicio de las funciones descritas anteriormente, prestar asesoría específica para atender casos particulares, ni juzgar o calificar las decisiones tomadas por otras dependencias o entidades.</w:t>
      </w:r>
    </w:p>
    <w:p w14:paraId="01609E46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72A486DE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Mediante el radicado de la referencia, la peticionaria formula unas preguntas relacionadas con la periodicidad del impuesto sobre las ventas -IVA a la que se deben sujetar aquellos responsables que detentan la calidad de exportadores, así:</w:t>
      </w:r>
    </w:p>
    <w:p w14:paraId="2CD6EFA2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4CB3D7F7" w14:textId="77777777" w:rsidR="00656B54" w:rsidRPr="00656B54" w:rsidRDefault="00656B54" w:rsidP="00656B54">
      <w:p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“1. ¿Un contribuyente que efectuó una exportación durante el año 2016, debe presentar las declaraciones de impuestos sobre las ventas de manera bimestral hasta que termine sus actividades y/o cuando haga modificaciones o cancele responsabilidades dentro del RUT?</w:t>
      </w:r>
    </w:p>
    <w:p w14:paraId="2A710ED3" w14:textId="77777777" w:rsidR="00656B54" w:rsidRPr="00656B54" w:rsidRDefault="00656B54" w:rsidP="00656B54">
      <w:p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i/>
          <w:iCs/>
          <w:color w:val="000000"/>
          <w:lang w:val="es-CO" w:eastAsia="es-ES"/>
        </w:rPr>
        <w:t> </w:t>
      </w:r>
    </w:p>
    <w:p w14:paraId="4E52844D" w14:textId="77777777" w:rsidR="00656B54" w:rsidRPr="00656B54" w:rsidRDefault="00656B54" w:rsidP="00656B54">
      <w:p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2. Si bien es cierto que se trata de leyes prospectivas, este contribuyente debe aplicársele la normatividad que a su momento estaba vigente es decir antes de la reforma con la Ley 1819 de 2016”</w:t>
      </w:r>
    </w:p>
    <w:p w14:paraId="4EAA5B08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i/>
          <w:iCs/>
          <w:color w:val="000000"/>
          <w:lang w:val="es-CO" w:eastAsia="es-ES"/>
        </w:rPr>
        <w:t> </w:t>
      </w:r>
    </w:p>
    <w:p w14:paraId="787332AC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Adicionalmente, consulta si un responsable de IVA, que previamente inscribió la actividad de exportación en su RUT, debe presentar la declaración bimestral correspondiente, a pesar de no cumplir con los topes de ingresos establecidos en el </w:t>
      </w:r>
      <w:hyperlink r:id="rId6" w:tooltip="Estatuto Tributario CETA" w:history="1">
        <w:r w:rsidRPr="00656B54">
          <w:rPr>
            <w:rFonts w:ascii="Segoe UI" w:eastAsia="Times New Roman" w:hAnsi="Segoe UI" w:cs="Segoe UI"/>
            <w:color w:val="0089E1"/>
            <w:lang w:val="es-CO" w:eastAsia="es-ES"/>
          </w:rPr>
          <w:t>artículo 600</w:t>
        </w:r>
      </w:hyperlink>
      <w:r w:rsidRPr="00656B54">
        <w:rPr>
          <w:rFonts w:ascii="Segoe UI" w:eastAsia="Times New Roman" w:hAnsi="Segoe UI" w:cs="Segoe UI"/>
          <w:color w:val="000000"/>
          <w:lang w:val="es-CO" w:eastAsia="es-ES"/>
        </w:rPr>
        <w:t> del Estatuto Tributario ni realizar exportaciones durante un período determinado.</w:t>
      </w:r>
    </w:p>
    <w:p w14:paraId="766BD87B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225CEB62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Sobre el particular, las consideraciones de este Despacho son las siguientes:</w:t>
      </w:r>
    </w:p>
    <w:p w14:paraId="61BEDC73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721C1D69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De conformidad con el numeral 1 del </w:t>
      </w:r>
      <w:hyperlink r:id="rId7" w:tooltip="Estatuto Tributario CETA" w:history="1">
        <w:r w:rsidRPr="00656B54">
          <w:rPr>
            <w:rFonts w:ascii="Segoe UI" w:eastAsia="Times New Roman" w:hAnsi="Segoe UI" w:cs="Segoe UI"/>
            <w:color w:val="0089E1"/>
            <w:lang w:val="es-CO" w:eastAsia="es-ES"/>
          </w:rPr>
          <w:t>artículo 600</w:t>
        </w:r>
      </w:hyperlink>
      <w:r w:rsidRPr="00656B54">
        <w:rPr>
          <w:rFonts w:ascii="Segoe UI" w:eastAsia="Times New Roman" w:hAnsi="Segoe UI" w:cs="Segoe UI"/>
          <w:color w:val="000000"/>
          <w:lang w:val="es-CO" w:eastAsia="es-ES"/>
        </w:rPr>
        <w:t> del Estatuto Tributario (con anterioridad y posterioridad a la modificación efectuada por el artículo 196 de la Ley 1819 de 2016), aquellos responsables del IVA que se dediquen a la exportación de bienes corporales muebles (responsables en los términos del </w:t>
      </w:r>
      <w:hyperlink r:id="rId8" w:tooltip="Estatuto Tributario CETA" w:history="1">
        <w:r w:rsidRPr="00656B54">
          <w:rPr>
            <w:rFonts w:ascii="Segoe UI" w:eastAsia="Times New Roman" w:hAnsi="Segoe UI" w:cs="Segoe UI"/>
            <w:color w:val="0089E1"/>
            <w:lang w:val="es-CO" w:eastAsia="es-ES"/>
          </w:rPr>
          <w:t>artículo 481</w:t>
        </w:r>
      </w:hyperlink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  <w:proofErr w:type="spellStart"/>
      <w:r w:rsidRPr="00656B54">
        <w:rPr>
          <w:rFonts w:ascii="Segoe UI" w:eastAsia="Times New Roman" w:hAnsi="Segoe UI" w:cs="Segoe UI"/>
          <w:i/>
          <w:iCs/>
          <w:color w:val="000000"/>
          <w:lang w:val="es-CO" w:eastAsia="es-ES"/>
        </w:rPr>
        <w:t>ibídem</w:t>
      </w:r>
      <w:proofErr w:type="spellEnd"/>
      <w:r w:rsidRPr="00656B54">
        <w:rPr>
          <w:rFonts w:ascii="Segoe UI" w:eastAsia="Times New Roman" w:hAnsi="Segoe UI" w:cs="Segoe UI"/>
          <w:color w:val="000000"/>
          <w:lang w:val="es-CO" w:eastAsia="es-ES"/>
        </w:rPr>
        <w:t>) deben cumplir con la presentación bimestral de la declaración del impuesto.</w:t>
      </w:r>
    </w:p>
    <w:p w14:paraId="3BA14C17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lastRenderedPageBreak/>
        <w:t> </w:t>
      </w:r>
    </w:p>
    <w:p w14:paraId="35F0ED71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Ahora bien, sobre la continuidad de la obligación de presentar las declaraciones bimestralmente, la Dirección de Gestión Jurídica se pronunció recientemente mediante el Oficio No. 100202208-064 del 13 de mayo de 2022, del cual se anexa copia, sin perjuicio de destacar lo siguiente:</w:t>
      </w:r>
    </w:p>
    <w:p w14:paraId="76D1CEC8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69F6BA7A" w14:textId="77777777" w:rsidR="00656B54" w:rsidRPr="00656B54" w:rsidRDefault="00656B54" w:rsidP="00656B54">
      <w:p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 xml:space="preserve">“(…) retomando lo explicado en el Oficio </w:t>
      </w:r>
      <w:proofErr w:type="spellStart"/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N°</w:t>
      </w:r>
      <w:proofErr w:type="spellEnd"/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 xml:space="preserve"> 005603 del 25 de enero de 2007, concluye esta Dirección que 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u w:val="single"/>
          <w:lang w:val="es-CO" w:eastAsia="es-ES"/>
        </w:rPr>
        <w:t>el RUT es de carácter declarativo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. Asimismo, es menester reiterar que el administrado ‘puede utilizar todos los medios probatorios señalados en la ley’ para demostrar si tiene o no las calidades de responsable del IVA y exportador.</w:t>
      </w:r>
    </w:p>
    <w:p w14:paraId="395CC2D9" w14:textId="77777777" w:rsidR="00656B54" w:rsidRPr="00656B54" w:rsidRDefault="00656B54" w:rsidP="00656B54">
      <w:p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i/>
          <w:iCs/>
          <w:color w:val="000000"/>
          <w:lang w:val="es-CO" w:eastAsia="es-ES"/>
        </w:rPr>
        <w:t> </w:t>
      </w:r>
    </w:p>
    <w:p w14:paraId="36ABC138" w14:textId="77777777" w:rsidR="00656B54" w:rsidRPr="00656B54" w:rsidRDefault="00656B54" w:rsidP="00656B54">
      <w:p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Por lo mismo, atendiendo lo contemplado en el </w:t>
      </w:r>
      <w:hyperlink r:id="rId9" w:tooltip="Estatuto Tributario CETA" w:history="1">
        <w:r w:rsidRPr="00656B54">
          <w:rPr>
            <w:rFonts w:ascii="Segoe UI" w:eastAsia="Times New Roman" w:hAnsi="Segoe UI" w:cs="Segoe UI"/>
            <w:i/>
            <w:iCs/>
            <w:color w:val="0089E1"/>
            <w:sz w:val="18"/>
            <w:szCs w:val="18"/>
            <w:lang w:val="es-CO" w:eastAsia="es-ES"/>
          </w:rPr>
          <w:t>artículo 600</w:t>
        </w:r>
      </w:hyperlink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 del Estatuto Tributario, 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u w:val="single"/>
          <w:lang w:val="es-CO" w:eastAsia="es-ES"/>
        </w:rPr>
        <w:t>están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 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u w:val="single"/>
          <w:lang w:val="es-CO" w:eastAsia="es-ES"/>
        </w:rPr>
        <w:t>obligados a declarar y pagar el IVA de manera bimestral los exportadores (al ser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 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u w:val="single"/>
          <w:lang w:val="es-CO" w:eastAsia="es-ES"/>
        </w:rPr>
        <w:t>responsables en los términos del </w:t>
      </w:r>
      <w:hyperlink r:id="rId10" w:tooltip="Estatuto Tributario CETA" w:history="1">
        <w:r w:rsidRPr="00656B54">
          <w:rPr>
            <w:rFonts w:ascii="Segoe UI" w:eastAsia="Times New Roman" w:hAnsi="Segoe UI" w:cs="Segoe UI"/>
            <w:i/>
            <w:iCs/>
            <w:color w:val="0089E1"/>
            <w:sz w:val="18"/>
            <w:szCs w:val="18"/>
            <w:lang w:val="es-CO" w:eastAsia="es-ES"/>
          </w:rPr>
          <w:t>artículo 481</w:t>
        </w:r>
      </w:hyperlink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u w:val="single"/>
          <w:lang w:val="es-CO" w:eastAsia="es-ES"/>
        </w:rPr>
        <w:t> </w:t>
      </w:r>
      <w:proofErr w:type="spellStart"/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u w:val="single"/>
          <w:lang w:val="es-CO" w:eastAsia="es-ES"/>
        </w:rPr>
        <w:t>ibídem</w:t>
      </w:r>
      <w:proofErr w:type="spellEnd"/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u w:val="single"/>
          <w:lang w:val="es-CO" w:eastAsia="es-ES"/>
        </w:rPr>
        <w:t>); calidad que, como se indicó, deviene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 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u w:val="single"/>
          <w:lang w:val="es-CO" w:eastAsia="es-ES"/>
        </w:rPr>
        <w:t>de realizar efectivamente actividades de exportación y no por su mera anotación en el RUT</w:t>
      </w:r>
      <w:r w:rsidRPr="00656B54">
        <w:rPr>
          <w:rFonts w:ascii="Segoe UI" w:eastAsia="Times New Roman" w:hAnsi="Segoe UI" w:cs="Segoe UI"/>
          <w:i/>
          <w:iCs/>
          <w:color w:val="000000"/>
          <w:sz w:val="18"/>
          <w:szCs w:val="18"/>
          <w:lang w:val="es-CO" w:eastAsia="es-ES"/>
        </w:rPr>
        <w:t>”. </w:t>
      </w:r>
      <w:r w:rsidRPr="00656B54">
        <w:rPr>
          <w:rFonts w:ascii="Segoe UI" w:eastAsia="Times New Roman" w:hAnsi="Segoe UI" w:cs="Segoe UI"/>
          <w:color w:val="000000"/>
          <w:sz w:val="18"/>
          <w:szCs w:val="18"/>
          <w:lang w:val="es-CO" w:eastAsia="es-ES"/>
        </w:rPr>
        <w:t>(Subrayado fuera de texto).</w:t>
      </w:r>
    </w:p>
    <w:p w14:paraId="762058A2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51F53024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En los anteriores términos se resuelve su solicitud y finalmente le manifestamos que la Dirección de Impuestos y Aduanas Nacionales -DIAN-, con el fin de facilitar a los contribuyentes, usuarios y público en general el acceso directo a sus pronunciamientos doctrinarios, ha publicado en su página de internet </w:t>
      </w:r>
      <w:hyperlink r:id="rId11" w:history="1">
        <w:r w:rsidRPr="00656B54">
          <w:rPr>
            <w:rFonts w:ascii="Segoe UI" w:eastAsia="Times New Roman" w:hAnsi="Segoe UI" w:cs="Segoe UI"/>
            <w:color w:val="0000FF"/>
            <w:lang w:val="es-CO" w:eastAsia="es-ES"/>
          </w:rPr>
          <w:t>www.dian.gov.co</w:t>
        </w:r>
      </w:hyperlink>
      <w:r w:rsidRPr="00656B54">
        <w:rPr>
          <w:rFonts w:ascii="Segoe UI" w:eastAsia="Times New Roman" w:hAnsi="Segoe UI" w:cs="Segoe UI"/>
          <w:color w:val="000000"/>
          <w:lang w:val="es-CO" w:eastAsia="es-ES"/>
        </w:rPr>
        <w:t xml:space="preserve">, la base de conceptos en materia tributaria, aduanera y cambiaria expedidos desde el año 2001, la cual se puede ingresar por el ícono de “Normatividad”–“Doctrina”, dando </w:t>
      </w:r>
      <w:proofErr w:type="spellStart"/>
      <w:r w:rsidRPr="00656B54">
        <w:rPr>
          <w:rFonts w:ascii="Segoe UI" w:eastAsia="Times New Roman" w:hAnsi="Segoe UI" w:cs="Segoe UI"/>
          <w:color w:val="000000"/>
          <w:lang w:val="es-CO" w:eastAsia="es-ES"/>
        </w:rPr>
        <w:t>click</w:t>
      </w:r>
      <w:proofErr w:type="spellEnd"/>
      <w:r w:rsidRPr="00656B54">
        <w:rPr>
          <w:rFonts w:ascii="Segoe UI" w:eastAsia="Times New Roman" w:hAnsi="Segoe UI" w:cs="Segoe UI"/>
          <w:color w:val="000000"/>
          <w:lang w:val="es-CO" w:eastAsia="es-ES"/>
        </w:rPr>
        <w:t xml:space="preserve"> en el link “Doctrina Dirección de Gestión Jurídica”.</w:t>
      </w:r>
    </w:p>
    <w:p w14:paraId="4644C77E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57A6149F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Atentamente,</w:t>
      </w:r>
    </w:p>
    <w:p w14:paraId="19720E87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 </w:t>
      </w:r>
    </w:p>
    <w:p w14:paraId="47A400B2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sz w:val="18"/>
          <w:szCs w:val="18"/>
          <w:lang w:val="es-CO" w:eastAsia="es-ES"/>
        </w:rPr>
        <w:t> </w:t>
      </w:r>
    </w:p>
    <w:p w14:paraId="79BB9A95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b/>
          <w:bCs/>
          <w:color w:val="000000"/>
          <w:sz w:val="18"/>
          <w:szCs w:val="18"/>
          <w:lang w:val="es-CO" w:eastAsia="es-ES"/>
        </w:rPr>
        <w:t>NICOLÁS BERNAL ABELLA</w:t>
      </w:r>
    </w:p>
    <w:p w14:paraId="2D2631E1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Subdirector de Normativa y Doctrina (E)</w:t>
      </w:r>
    </w:p>
    <w:p w14:paraId="2D544002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Dirección de Gestión Jurídica</w:t>
      </w:r>
    </w:p>
    <w:p w14:paraId="14285A35" w14:textId="77777777" w:rsidR="00656B54" w:rsidRPr="00656B54" w:rsidRDefault="00656B54" w:rsidP="00656B5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56B54">
        <w:rPr>
          <w:rFonts w:ascii="Segoe UI" w:eastAsia="Times New Roman" w:hAnsi="Segoe UI" w:cs="Segoe UI"/>
          <w:color w:val="000000"/>
          <w:lang w:val="es-CO" w:eastAsia="es-ES"/>
        </w:rPr>
        <w:t>UAE-Dirección de Impuestos y Aduanas Nacionales</w:t>
      </w:r>
    </w:p>
    <w:sectPr w:rsidR="00656B54" w:rsidRPr="00656B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52"/>
    <w:rsid w:val="001F1FBB"/>
    <w:rsid w:val="00201EA3"/>
    <w:rsid w:val="002656F2"/>
    <w:rsid w:val="00325152"/>
    <w:rsid w:val="0057542E"/>
    <w:rsid w:val="00656B54"/>
    <w:rsid w:val="008B0601"/>
    <w:rsid w:val="00A20014"/>
    <w:rsid w:val="00CF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C5E9E"/>
  <w15:chartTrackingRefBased/>
  <w15:docId w15:val="{112A087C-C522-4435-9D78-BE975270A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656F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656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ta.org.co/html/vista_de_un_articulo.asp?Norma=60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eta.org.co/html/vista_de_un_articulo.asp?Norma=74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eta.org.co/html/vista_de_un_articulo.asp?Norma=740" TargetMode="External"/><Relationship Id="rId11" Type="http://schemas.openxmlformats.org/officeDocument/2006/relationships/hyperlink" Target="http://www.dian.gov.co/" TargetMode="External"/><Relationship Id="rId5" Type="http://schemas.openxmlformats.org/officeDocument/2006/relationships/hyperlink" Target="https://www.ceta.org.co/html/vista_de_un_articulo.asp?Norma=740" TargetMode="External"/><Relationship Id="rId10" Type="http://schemas.openxmlformats.org/officeDocument/2006/relationships/hyperlink" Target="https://www.ceta.org.co/html/vista_de_un_articulo.asp?Norma=601" TargetMode="External"/><Relationship Id="rId4" Type="http://schemas.openxmlformats.org/officeDocument/2006/relationships/hyperlink" Target="https://www.ceta.org.co/html/vista_de_un_articulo.asp?Norma=601" TargetMode="External"/><Relationship Id="rId9" Type="http://schemas.openxmlformats.org/officeDocument/2006/relationships/hyperlink" Target="https://www.ceta.org.co/html/vista_de_un_articulo.asp?Norma=74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4147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Hugo Tapasco Duque</dc:creator>
  <cp:keywords/>
  <dc:description/>
  <cp:lastModifiedBy>Victor Hugo Tapasco Duque</cp:lastModifiedBy>
  <cp:revision>2</cp:revision>
  <dcterms:created xsi:type="dcterms:W3CDTF">2022-07-25T15:43:00Z</dcterms:created>
  <dcterms:modified xsi:type="dcterms:W3CDTF">2022-07-25T15:43:00Z</dcterms:modified>
</cp:coreProperties>
</file>