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EEF" w:rsidRPr="00910EEF" w:rsidRDefault="00910EEF" w:rsidP="006F4761">
      <w:pPr>
        <w:pStyle w:val="Default"/>
        <w:jc w:val="both"/>
        <w:rPr>
          <w:sz w:val="22"/>
          <w:szCs w:val="22"/>
        </w:rPr>
      </w:pPr>
      <w:r w:rsidRPr="00910EEF">
        <w:rPr>
          <w:b/>
          <w:bCs/>
          <w:sz w:val="22"/>
          <w:szCs w:val="22"/>
        </w:rPr>
        <w:t xml:space="preserve">FUNDACIÓN </w:t>
      </w:r>
      <w:r>
        <w:rPr>
          <w:b/>
          <w:bCs/>
          <w:sz w:val="22"/>
          <w:szCs w:val="22"/>
        </w:rPr>
        <w:t>XXXXX</w:t>
      </w:r>
    </w:p>
    <w:p w:rsidR="00910EEF" w:rsidRPr="00910EEF" w:rsidRDefault="00910EEF" w:rsidP="006F4761">
      <w:pPr>
        <w:pStyle w:val="Default"/>
        <w:jc w:val="both"/>
        <w:rPr>
          <w:sz w:val="22"/>
          <w:szCs w:val="22"/>
        </w:rPr>
      </w:pPr>
      <w:r w:rsidRPr="00910EEF">
        <w:rPr>
          <w:sz w:val="22"/>
          <w:szCs w:val="22"/>
        </w:rPr>
        <w:t>NOTAS A ESTADOS FINANCIEROS</w:t>
      </w:r>
    </w:p>
    <w:p w:rsidR="00910EEF" w:rsidRDefault="00910EEF" w:rsidP="006F4761">
      <w:pPr>
        <w:pStyle w:val="Default"/>
        <w:jc w:val="both"/>
        <w:rPr>
          <w:sz w:val="22"/>
          <w:szCs w:val="22"/>
        </w:rPr>
      </w:pPr>
      <w:r w:rsidRPr="00910EEF">
        <w:rPr>
          <w:sz w:val="22"/>
          <w:szCs w:val="22"/>
        </w:rPr>
        <w:t>(Cifras en miles de pesos)</w:t>
      </w:r>
    </w:p>
    <w:p w:rsidR="00910EEF" w:rsidRDefault="00910EEF" w:rsidP="006F4761">
      <w:pPr>
        <w:pStyle w:val="Default"/>
        <w:jc w:val="both"/>
        <w:rPr>
          <w:sz w:val="22"/>
          <w:szCs w:val="22"/>
        </w:rPr>
      </w:pPr>
    </w:p>
    <w:p w:rsidR="00910EEF" w:rsidRPr="00910EEF" w:rsidRDefault="00910EEF" w:rsidP="006F4761">
      <w:pPr>
        <w:pStyle w:val="Default"/>
        <w:jc w:val="both"/>
        <w:rPr>
          <w:b/>
          <w:sz w:val="22"/>
          <w:szCs w:val="22"/>
        </w:rPr>
      </w:pPr>
    </w:p>
    <w:p w:rsidR="00910EEF" w:rsidRDefault="00910EEF" w:rsidP="006F4761">
      <w:pPr>
        <w:pStyle w:val="Default"/>
        <w:jc w:val="both"/>
        <w:rPr>
          <w:b/>
          <w:sz w:val="22"/>
          <w:szCs w:val="22"/>
        </w:rPr>
      </w:pPr>
      <w:r w:rsidRPr="00910EEF">
        <w:rPr>
          <w:b/>
          <w:sz w:val="22"/>
          <w:szCs w:val="22"/>
        </w:rPr>
        <w:t xml:space="preserve">NOTA A — NATURALEZA DE LAS ACTIVIDADES Y RESUMEN DE POLÍTICAS CONTABLES </w:t>
      </w:r>
    </w:p>
    <w:p w:rsidR="00B47ACC" w:rsidRPr="00910EEF" w:rsidRDefault="00B47ACC" w:rsidP="006F4761">
      <w:pPr>
        <w:pStyle w:val="Default"/>
        <w:jc w:val="both"/>
        <w:rPr>
          <w:b/>
          <w:sz w:val="22"/>
          <w:szCs w:val="22"/>
        </w:rPr>
      </w:pPr>
    </w:p>
    <w:p w:rsidR="00910EEF" w:rsidRPr="00910EEF" w:rsidRDefault="00910EEF" w:rsidP="006F4761">
      <w:pPr>
        <w:pStyle w:val="Default"/>
        <w:jc w:val="both"/>
        <w:rPr>
          <w:sz w:val="22"/>
          <w:szCs w:val="22"/>
          <w:u w:val="single"/>
        </w:rPr>
      </w:pPr>
    </w:p>
    <w:p w:rsidR="00910EEF" w:rsidRPr="00910EEF" w:rsidRDefault="00910EEF" w:rsidP="006F4761">
      <w:pPr>
        <w:pStyle w:val="Default"/>
        <w:jc w:val="both"/>
        <w:rPr>
          <w:b/>
          <w:sz w:val="22"/>
          <w:szCs w:val="22"/>
          <w:u w:val="single"/>
        </w:rPr>
      </w:pPr>
      <w:r w:rsidRPr="00910EEF">
        <w:rPr>
          <w:b/>
          <w:sz w:val="22"/>
          <w:szCs w:val="22"/>
          <w:u w:val="single"/>
        </w:rPr>
        <w:t xml:space="preserve">Naturaleza de las actividades </w:t>
      </w:r>
    </w:p>
    <w:p w:rsidR="00910EEF" w:rsidRPr="00910EEF" w:rsidRDefault="00910EEF" w:rsidP="006F4761">
      <w:pPr>
        <w:pStyle w:val="Default"/>
        <w:jc w:val="both"/>
        <w:rPr>
          <w:sz w:val="22"/>
          <w:szCs w:val="22"/>
        </w:rPr>
      </w:pPr>
    </w:p>
    <w:p w:rsidR="00910EEF" w:rsidRDefault="00910EEF" w:rsidP="006F4761">
      <w:pPr>
        <w:pStyle w:val="Default"/>
        <w:jc w:val="both"/>
        <w:rPr>
          <w:sz w:val="22"/>
          <w:szCs w:val="22"/>
        </w:rPr>
      </w:pPr>
      <w:r w:rsidRPr="00910EEF">
        <w:rPr>
          <w:sz w:val="22"/>
          <w:szCs w:val="22"/>
        </w:rPr>
        <w:t xml:space="preserve">La Fundación El Refugio (la Organización) fue creada en 20X0 mediante escritura pública 2783 de la Notaría 50 de Bogotá D.C con una duración indefinida; ofrece alojamiento temporal para los habitantes de la calle en Bogotá D.C. Las mujeres y los niños permanecen en instalaciones de propiedad de la Organización, y los hombres permanecen en instalaciones alquiladas. </w:t>
      </w:r>
    </w:p>
    <w:p w:rsidR="00910EEF" w:rsidRDefault="00910EEF" w:rsidP="006F4761">
      <w:pPr>
        <w:pStyle w:val="Default"/>
        <w:jc w:val="both"/>
        <w:rPr>
          <w:sz w:val="22"/>
          <w:szCs w:val="22"/>
        </w:rPr>
      </w:pPr>
    </w:p>
    <w:p w:rsidR="00910EEF" w:rsidRPr="00910EEF" w:rsidRDefault="00910EEF" w:rsidP="006F4761">
      <w:pPr>
        <w:pStyle w:val="Default"/>
        <w:jc w:val="both"/>
        <w:rPr>
          <w:sz w:val="22"/>
          <w:szCs w:val="22"/>
        </w:rPr>
      </w:pPr>
    </w:p>
    <w:p w:rsidR="00910EEF" w:rsidRDefault="00910EEF" w:rsidP="006F4761">
      <w:pPr>
        <w:pStyle w:val="Default"/>
        <w:jc w:val="both"/>
        <w:rPr>
          <w:sz w:val="22"/>
          <w:szCs w:val="22"/>
        </w:rPr>
      </w:pPr>
      <w:r w:rsidRPr="00910EEF">
        <w:rPr>
          <w:sz w:val="22"/>
          <w:szCs w:val="22"/>
        </w:rPr>
        <w:t xml:space="preserve">Los residentes reciben consejería para ayudarles a obtener una vivienda permanente, empleo y asistencia financiera y para ayudarles con problemas de drogadicción. La Organización se apoya principalmente en donaciones del Grupo Económico Nacional y en donaciones y contribuciones de otros donantes. Aproximadamente el 38% y el 20% del apoyo recibido por la Organización para los años que terminaron el 31 de diciembre de 20X7 y 20X6, respectivamente, provinieron de las contribuciones del Grupo Económico Nacional. </w:t>
      </w:r>
    </w:p>
    <w:p w:rsidR="00910EEF" w:rsidRDefault="00910EEF" w:rsidP="006F4761">
      <w:pPr>
        <w:pStyle w:val="Default"/>
        <w:jc w:val="both"/>
        <w:rPr>
          <w:sz w:val="22"/>
          <w:szCs w:val="22"/>
        </w:rPr>
      </w:pPr>
    </w:p>
    <w:p w:rsidR="00910EEF" w:rsidRPr="00910EEF" w:rsidRDefault="00910EEF" w:rsidP="006F4761">
      <w:pPr>
        <w:pStyle w:val="Default"/>
        <w:jc w:val="both"/>
        <w:rPr>
          <w:b/>
          <w:sz w:val="22"/>
          <w:szCs w:val="22"/>
        </w:rPr>
      </w:pPr>
    </w:p>
    <w:p w:rsidR="00910EEF" w:rsidRPr="00910EEF" w:rsidRDefault="00910EEF" w:rsidP="006F4761">
      <w:pPr>
        <w:pStyle w:val="Default"/>
        <w:jc w:val="both"/>
        <w:rPr>
          <w:b/>
          <w:sz w:val="22"/>
          <w:szCs w:val="22"/>
          <w:u w:val="single"/>
        </w:rPr>
      </w:pPr>
      <w:r w:rsidRPr="00910EEF">
        <w:rPr>
          <w:b/>
          <w:sz w:val="22"/>
          <w:szCs w:val="22"/>
          <w:u w:val="single"/>
        </w:rPr>
        <w:t xml:space="preserve">Presentación de Estados financieros </w:t>
      </w:r>
    </w:p>
    <w:p w:rsidR="00910EEF" w:rsidRPr="00910EEF" w:rsidRDefault="00910EEF" w:rsidP="006F4761">
      <w:pPr>
        <w:pStyle w:val="Default"/>
        <w:jc w:val="both"/>
        <w:rPr>
          <w:sz w:val="22"/>
          <w:szCs w:val="22"/>
        </w:rPr>
      </w:pPr>
    </w:p>
    <w:p w:rsidR="00910EEF" w:rsidRDefault="00910EEF" w:rsidP="006F4761">
      <w:pPr>
        <w:pStyle w:val="Default"/>
        <w:jc w:val="both"/>
        <w:rPr>
          <w:sz w:val="22"/>
          <w:szCs w:val="22"/>
        </w:rPr>
      </w:pPr>
      <w:r w:rsidRPr="00910EEF">
        <w:rPr>
          <w:sz w:val="22"/>
          <w:szCs w:val="22"/>
        </w:rPr>
        <w:t xml:space="preserve">Los estados financieros se preparan de acuerdo con el Decreto 3022 de 2013 y decretos posteriores que lo reformen, el cual está de acuerdo con lo dispuesto en la NIIF para las PYMES, dado que la Organización pertenece al Grupo 2. De acuerdo con esta norma, la Organización debe presentar estados comparativos de situación financiera, resultados y ganancias acumuladas (aquí llamado estado de actividades) y flujos de efectivo. No obstante, con el ánimo de proporcionar una mejor información a los usuarios, la entidad también acompaña estos estados con un estado comparativo de gastos de funcionamiento. </w:t>
      </w:r>
    </w:p>
    <w:p w:rsidR="00910EEF" w:rsidRDefault="00910EEF" w:rsidP="006F4761">
      <w:pPr>
        <w:pStyle w:val="Default"/>
        <w:jc w:val="both"/>
        <w:rPr>
          <w:sz w:val="22"/>
          <w:szCs w:val="22"/>
        </w:rPr>
      </w:pPr>
    </w:p>
    <w:p w:rsidR="00910EEF" w:rsidRPr="00910EEF" w:rsidRDefault="00910EEF" w:rsidP="006F4761">
      <w:pPr>
        <w:pStyle w:val="Default"/>
        <w:jc w:val="both"/>
        <w:rPr>
          <w:sz w:val="22"/>
          <w:szCs w:val="22"/>
        </w:rPr>
      </w:pPr>
    </w:p>
    <w:p w:rsidR="00910EEF" w:rsidRPr="00910EEF" w:rsidRDefault="00910EEF" w:rsidP="006F4761">
      <w:pPr>
        <w:pStyle w:val="Default"/>
        <w:jc w:val="both"/>
        <w:rPr>
          <w:b/>
          <w:sz w:val="22"/>
          <w:szCs w:val="22"/>
          <w:u w:val="single"/>
        </w:rPr>
      </w:pPr>
      <w:r w:rsidRPr="00910EEF">
        <w:rPr>
          <w:b/>
          <w:sz w:val="22"/>
          <w:szCs w:val="22"/>
          <w:u w:val="single"/>
        </w:rPr>
        <w:t xml:space="preserve">Compromisos para aportar </w:t>
      </w:r>
    </w:p>
    <w:p w:rsidR="00910EEF" w:rsidRPr="00910EEF" w:rsidRDefault="00910EEF" w:rsidP="006F4761">
      <w:pPr>
        <w:pStyle w:val="Default"/>
        <w:jc w:val="both"/>
        <w:rPr>
          <w:sz w:val="22"/>
          <w:szCs w:val="22"/>
        </w:rPr>
      </w:pPr>
    </w:p>
    <w:p w:rsidR="00910EEF" w:rsidRDefault="00910EEF" w:rsidP="006F4761">
      <w:pPr>
        <w:pStyle w:val="Default"/>
        <w:jc w:val="both"/>
        <w:rPr>
          <w:sz w:val="22"/>
          <w:szCs w:val="22"/>
        </w:rPr>
      </w:pPr>
      <w:r w:rsidRPr="00910EEF">
        <w:rPr>
          <w:sz w:val="22"/>
          <w:szCs w:val="22"/>
        </w:rPr>
        <w:t xml:space="preserve">Las contribuciones se reconocen cuando el donante hace una promesa para aportar a la Organización que es, en esencia, incondicional. Las contribuciones que están restringidas por el donante se revelan como aumentos en los activos netos sin restricciones si estas expiran en el año en que se reconocen. Otras contribuciones restringidas de donantes se revelan como aumentos en los activos netos restringidos temporalmente o permanentemente dependiendo de la naturaleza de las restricciones. Cuando una restricción expira, los activos netos restringidos temporalmente son reclasificados a activos netos sin restricciones. </w:t>
      </w:r>
    </w:p>
    <w:p w:rsidR="00910EEF" w:rsidRDefault="00910EEF" w:rsidP="006F4761">
      <w:pPr>
        <w:pStyle w:val="Default"/>
        <w:jc w:val="both"/>
        <w:rPr>
          <w:sz w:val="22"/>
          <w:szCs w:val="22"/>
        </w:rPr>
      </w:pPr>
    </w:p>
    <w:p w:rsidR="00910EEF" w:rsidRPr="00910EEF" w:rsidRDefault="00910EEF" w:rsidP="006F4761">
      <w:pPr>
        <w:pStyle w:val="Default"/>
        <w:jc w:val="both"/>
        <w:rPr>
          <w:sz w:val="22"/>
          <w:szCs w:val="22"/>
        </w:rPr>
      </w:pPr>
    </w:p>
    <w:p w:rsidR="00910EEF" w:rsidRDefault="00910EEF" w:rsidP="006F4761">
      <w:pPr>
        <w:pStyle w:val="Default"/>
        <w:jc w:val="both"/>
        <w:rPr>
          <w:sz w:val="22"/>
          <w:szCs w:val="22"/>
        </w:rPr>
      </w:pPr>
      <w:r w:rsidRPr="00910EEF">
        <w:rPr>
          <w:sz w:val="22"/>
          <w:szCs w:val="22"/>
        </w:rPr>
        <w:lastRenderedPageBreak/>
        <w:t xml:space="preserve">La Organización efectúa un análisis de cobrabilidad semestral individual para determinar las cuentas por cobrar incobrables por compromisos incondicionales. La asignación se basa en la experiencia de años anteriores y en el análisis de la gerencia sobre los compromisos específicos hechos. </w:t>
      </w:r>
    </w:p>
    <w:p w:rsidR="00910EEF" w:rsidRDefault="00910EEF" w:rsidP="006F4761">
      <w:pPr>
        <w:pStyle w:val="Default"/>
        <w:jc w:val="both"/>
        <w:rPr>
          <w:sz w:val="22"/>
          <w:szCs w:val="22"/>
        </w:rPr>
      </w:pPr>
    </w:p>
    <w:p w:rsidR="00910EEF" w:rsidRPr="00910EEF" w:rsidRDefault="00910EEF" w:rsidP="006F4761">
      <w:pPr>
        <w:pStyle w:val="Default"/>
        <w:jc w:val="both"/>
        <w:rPr>
          <w:sz w:val="22"/>
          <w:szCs w:val="22"/>
        </w:rPr>
      </w:pPr>
    </w:p>
    <w:p w:rsidR="00910EEF" w:rsidRDefault="00910EEF" w:rsidP="006F4761">
      <w:pPr>
        <w:pStyle w:val="Default"/>
        <w:jc w:val="both"/>
        <w:rPr>
          <w:b/>
          <w:sz w:val="22"/>
          <w:szCs w:val="22"/>
          <w:u w:val="single"/>
        </w:rPr>
      </w:pPr>
      <w:r w:rsidRPr="00910EEF">
        <w:rPr>
          <w:b/>
          <w:sz w:val="22"/>
          <w:szCs w:val="22"/>
          <w:u w:val="single"/>
        </w:rPr>
        <w:t xml:space="preserve">Servicios aportados </w:t>
      </w:r>
    </w:p>
    <w:p w:rsidR="00910EEF" w:rsidRPr="00910EEF" w:rsidRDefault="00910EEF" w:rsidP="006F4761">
      <w:pPr>
        <w:pStyle w:val="Default"/>
        <w:jc w:val="both"/>
        <w:rPr>
          <w:b/>
          <w:sz w:val="22"/>
          <w:szCs w:val="22"/>
          <w:u w:val="single"/>
        </w:rPr>
      </w:pPr>
    </w:p>
    <w:p w:rsidR="00910EEF" w:rsidRDefault="00910EEF" w:rsidP="006F4761">
      <w:pPr>
        <w:pStyle w:val="Default"/>
        <w:jc w:val="both"/>
        <w:rPr>
          <w:sz w:val="22"/>
          <w:szCs w:val="22"/>
        </w:rPr>
      </w:pPr>
      <w:r w:rsidRPr="00910EEF">
        <w:rPr>
          <w:sz w:val="22"/>
          <w:szCs w:val="22"/>
        </w:rPr>
        <w:t xml:space="preserve">Durante los años que terminaron el 31 de diciembre de 20X7 y 20X6, el valor de los servicios aportados que cumplía los requisitos para el reconocimiento en los estados financieros no era significativo y no se ha registrado. Además, muchos individuos donan su tiempo y realizan una variedad de tareas que ayudan a la Organización en las instalaciones de los residentes. La Organización recibe más de 3.000 horas de trabajo voluntario por año. </w:t>
      </w:r>
    </w:p>
    <w:p w:rsidR="00910EEF" w:rsidRDefault="00910EEF" w:rsidP="006F4761">
      <w:pPr>
        <w:pStyle w:val="Default"/>
        <w:jc w:val="both"/>
        <w:rPr>
          <w:sz w:val="22"/>
          <w:szCs w:val="22"/>
        </w:rPr>
      </w:pPr>
    </w:p>
    <w:p w:rsidR="00910EEF" w:rsidRPr="00910EEF" w:rsidRDefault="00910EEF" w:rsidP="006F4761">
      <w:pPr>
        <w:pStyle w:val="Default"/>
        <w:jc w:val="both"/>
        <w:rPr>
          <w:sz w:val="22"/>
          <w:szCs w:val="22"/>
        </w:rPr>
      </w:pPr>
    </w:p>
    <w:p w:rsidR="00910EEF" w:rsidRDefault="00910EEF" w:rsidP="006F4761">
      <w:pPr>
        <w:pStyle w:val="Default"/>
        <w:jc w:val="both"/>
        <w:rPr>
          <w:b/>
          <w:sz w:val="22"/>
          <w:szCs w:val="22"/>
          <w:u w:val="single"/>
        </w:rPr>
      </w:pPr>
      <w:r w:rsidRPr="00910EEF">
        <w:rPr>
          <w:b/>
          <w:sz w:val="22"/>
          <w:szCs w:val="22"/>
          <w:u w:val="single"/>
        </w:rPr>
        <w:t xml:space="preserve">Estimaciones </w:t>
      </w:r>
    </w:p>
    <w:p w:rsidR="00910EEF" w:rsidRPr="00910EEF" w:rsidRDefault="00910EEF" w:rsidP="006F4761">
      <w:pPr>
        <w:pStyle w:val="Default"/>
        <w:jc w:val="both"/>
        <w:rPr>
          <w:b/>
          <w:sz w:val="22"/>
          <w:szCs w:val="22"/>
          <w:u w:val="single"/>
        </w:rPr>
      </w:pPr>
    </w:p>
    <w:p w:rsidR="00910EEF" w:rsidRDefault="00910EEF" w:rsidP="006F4761">
      <w:pPr>
        <w:pStyle w:val="Default"/>
        <w:jc w:val="both"/>
        <w:rPr>
          <w:sz w:val="22"/>
          <w:szCs w:val="22"/>
        </w:rPr>
      </w:pPr>
      <w:r w:rsidRPr="00910EEF">
        <w:rPr>
          <w:sz w:val="22"/>
          <w:szCs w:val="22"/>
        </w:rPr>
        <w:t xml:space="preserve">La preparación de los estados financieros conforme al marco técnico normativo requiere que la gerencia efectúe estimaciones y utilice supuestos que afectan ciertos montos reportados y revelados. En consecuencia, los resultados reales podrían diferir de esas estimaciones. </w:t>
      </w:r>
    </w:p>
    <w:p w:rsidR="00910EEF" w:rsidRDefault="00910EEF" w:rsidP="006F4761">
      <w:pPr>
        <w:pStyle w:val="Default"/>
        <w:jc w:val="both"/>
        <w:rPr>
          <w:sz w:val="22"/>
          <w:szCs w:val="22"/>
        </w:rPr>
      </w:pPr>
    </w:p>
    <w:p w:rsidR="00910EEF" w:rsidRPr="00910EEF" w:rsidRDefault="00910EEF" w:rsidP="006F4761">
      <w:pPr>
        <w:pStyle w:val="Default"/>
        <w:jc w:val="both"/>
        <w:rPr>
          <w:sz w:val="22"/>
          <w:szCs w:val="22"/>
        </w:rPr>
      </w:pPr>
    </w:p>
    <w:p w:rsidR="00910EEF" w:rsidRDefault="00910EEF" w:rsidP="006F4761">
      <w:pPr>
        <w:pStyle w:val="Default"/>
        <w:jc w:val="both"/>
        <w:rPr>
          <w:b/>
          <w:sz w:val="22"/>
          <w:szCs w:val="22"/>
          <w:u w:val="single"/>
        </w:rPr>
      </w:pPr>
      <w:r w:rsidRPr="00910EEF">
        <w:rPr>
          <w:b/>
          <w:sz w:val="22"/>
          <w:szCs w:val="22"/>
          <w:u w:val="single"/>
        </w:rPr>
        <w:t xml:space="preserve">Propiedad y equipo </w:t>
      </w:r>
    </w:p>
    <w:p w:rsidR="00910EEF" w:rsidRPr="00910EEF" w:rsidRDefault="00910EEF" w:rsidP="006F4761">
      <w:pPr>
        <w:pStyle w:val="Default"/>
        <w:jc w:val="both"/>
        <w:rPr>
          <w:b/>
          <w:sz w:val="22"/>
          <w:szCs w:val="22"/>
          <w:u w:val="single"/>
        </w:rPr>
      </w:pPr>
    </w:p>
    <w:p w:rsidR="00910EEF" w:rsidRDefault="00910EEF" w:rsidP="006F4761">
      <w:pPr>
        <w:pStyle w:val="Default"/>
        <w:jc w:val="both"/>
        <w:rPr>
          <w:sz w:val="22"/>
          <w:szCs w:val="22"/>
        </w:rPr>
      </w:pPr>
      <w:r w:rsidRPr="00910EEF">
        <w:rPr>
          <w:sz w:val="22"/>
          <w:szCs w:val="22"/>
        </w:rPr>
        <w:t xml:space="preserve">La Organización capitaliza todos los costos de las propiedades y equipos con un valor de 5 salarios mínimos mensuales o más, si son adquiridos, y un valor razonable de 5 salarios mínimos mensuales a la fecha de la donación, si se reciben como contribución. Las donaciones de inmuebles y equipo se registran a su valor razonable estimado. Tales donaciones se revelan como aportes sin restricciones a menos que el donante haya restringido el activo donado para un fin específico. Los activos donados con restricciones explícitas en cuanto a su uso y las contribuciones de efectivo que deben utilizarse para la adquisición de inmuebles y equipo se revelan como aportes restringidos. En ausencia de estipulaciones de los donantes con respecto a cuánto tiempo se deben mantener los activos donados, la Organización presenta las expiraciones de las restricciones del donante cuando los activos donados o adquiridos son puestos en servicio de acuerdo con las indicaciones del donante. En ese momento, la Organización reclasifica los activos netos temporalmente restringidos como activos netos sin restricciones. Los inmuebles y equipos se deprecian linealmente durante sus vidas útiles estimadas y se estiman valores residuales para vehículos en función del precio de venta actual para activos con una vida útil consumida similar a la vida útil estimada al inicio de uso del activo. Los parámetros se revisan anualmente para ajustarlos como estimaciones contables de acuerdo con los cambios que se generen. </w:t>
      </w:r>
    </w:p>
    <w:p w:rsidR="00910EEF" w:rsidRDefault="00910EEF" w:rsidP="006F4761">
      <w:pPr>
        <w:pStyle w:val="Default"/>
        <w:jc w:val="both"/>
        <w:rPr>
          <w:sz w:val="22"/>
          <w:szCs w:val="22"/>
        </w:rPr>
      </w:pPr>
    </w:p>
    <w:p w:rsidR="00910EEF" w:rsidRPr="00910EEF" w:rsidRDefault="00910EEF" w:rsidP="006F4761">
      <w:pPr>
        <w:pStyle w:val="Default"/>
        <w:jc w:val="both"/>
        <w:rPr>
          <w:sz w:val="22"/>
          <w:szCs w:val="22"/>
        </w:rPr>
      </w:pPr>
    </w:p>
    <w:p w:rsidR="00910EEF" w:rsidRPr="00910EEF" w:rsidRDefault="00910EEF" w:rsidP="006F4761">
      <w:pPr>
        <w:pStyle w:val="Default"/>
        <w:jc w:val="both"/>
        <w:rPr>
          <w:b/>
          <w:sz w:val="22"/>
          <w:szCs w:val="22"/>
          <w:u w:val="single"/>
        </w:rPr>
      </w:pPr>
      <w:r w:rsidRPr="00910EEF">
        <w:rPr>
          <w:b/>
          <w:sz w:val="22"/>
          <w:szCs w:val="22"/>
          <w:u w:val="single"/>
        </w:rPr>
        <w:t xml:space="preserve">Contribuciones </w:t>
      </w:r>
    </w:p>
    <w:p w:rsidR="00910EEF" w:rsidRPr="00910EEF" w:rsidRDefault="00910EEF" w:rsidP="006F4761">
      <w:pPr>
        <w:pStyle w:val="Default"/>
        <w:jc w:val="both"/>
        <w:rPr>
          <w:sz w:val="22"/>
          <w:szCs w:val="22"/>
        </w:rPr>
      </w:pPr>
    </w:p>
    <w:p w:rsidR="00910EEF" w:rsidRPr="00910EEF" w:rsidRDefault="00910EEF" w:rsidP="006F4761">
      <w:pPr>
        <w:pStyle w:val="Default"/>
        <w:jc w:val="both"/>
        <w:rPr>
          <w:sz w:val="22"/>
          <w:szCs w:val="22"/>
        </w:rPr>
      </w:pPr>
      <w:r w:rsidRPr="00910EEF">
        <w:rPr>
          <w:sz w:val="22"/>
          <w:szCs w:val="22"/>
        </w:rPr>
        <w:t xml:space="preserve">Las contribuciones recibidas se registran como activos netos permanentemente restringidos, temporalmente restringidos o sin restricción, según la ausencia o existencia y naturaleza de cualquier restricción impuesta por los donantes. </w:t>
      </w:r>
    </w:p>
    <w:p w:rsidR="00910EEF" w:rsidRPr="00910EEF" w:rsidRDefault="00910EEF" w:rsidP="006F4761">
      <w:pPr>
        <w:pStyle w:val="Default"/>
        <w:jc w:val="both"/>
        <w:rPr>
          <w:b/>
          <w:sz w:val="22"/>
          <w:szCs w:val="22"/>
          <w:u w:val="single"/>
        </w:rPr>
      </w:pPr>
      <w:r w:rsidRPr="00910EEF">
        <w:rPr>
          <w:b/>
          <w:sz w:val="22"/>
          <w:szCs w:val="22"/>
          <w:u w:val="single"/>
        </w:rPr>
        <w:t xml:space="preserve">Impuestos sobre la renta </w:t>
      </w:r>
    </w:p>
    <w:p w:rsidR="00910EEF" w:rsidRPr="00910EEF" w:rsidRDefault="00910EEF" w:rsidP="006F4761">
      <w:pPr>
        <w:pStyle w:val="Default"/>
        <w:jc w:val="both"/>
        <w:rPr>
          <w:sz w:val="22"/>
          <w:szCs w:val="22"/>
        </w:rPr>
      </w:pPr>
    </w:p>
    <w:p w:rsidR="00910EEF" w:rsidRDefault="00910EEF" w:rsidP="006F4761">
      <w:pPr>
        <w:pStyle w:val="Default"/>
        <w:jc w:val="both"/>
        <w:rPr>
          <w:sz w:val="22"/>
          <w:szCs w:val="22"/>
        </w:rPr>
      </w:pPr>
      <w:r w:rsidRPr="00910EEF">
        <w:rPr>
          <w:sz w:val="22"/>
          <w:szCs w:val="22"/>
        </w:rPr>
        <w:t xml:space="preserve">La Organización es una entidad sin ánimo de lucro exenta de impuestos sobre la renta, pero debe presentar declaración de ingresos y patrimonio, de acuerdo con lo dispuesto en el artículo 598 del Estatuto Tributario. </w:t>
      </w:r>
    </w:p>
    <w:p w:rsidR="00910EEF" w:rsidRDefault="00910EEF" w:rsidP="006F4761">
      <w:pPr>
        <w:pStyle w:val="Default"/>
        <w:jc w:val="both"/>
        <w:rPr>
          <w:sz w:val="22"/>
          <w:szCs w:val="22"/>
        </w:rPr>
      </w:pPr>
    </w:p>
    <w:p w:rsidR="00910EEF" w:rsidRPr="00910EEF" w:rsidRDefault="00910EEF" w:rsidP="006F4761">
      <w:pPr>
        <w:pStyle w:val="Default"/>
        <w:jc w:val="both"/>
        <w:rPr>
          <w:sz w:val="22"/>
          <w:szCs w:val="22"/>
        </w:rPr>
      </w:pPr>
    </w:p>
    <w:p w:rsidR="00910EEF" w:rsidRPr="00910EEF" w:rsidRDefault="00910EEF" w:rsidP="006F4761">
      <w:pPr>
        <w:pStyle w:val="Default"/>
        <w:jc w:val="both"/>
        <w:rPr>
          <w:b/>
          <w:sz w:val="22"/>
          <w:szCs w:val="22"/>
          <w:u w:val="single"/>
        </w:rPr>
      </w:pPr>
      <w:r w:rsidRPr="00910EEF">
        <w:rPr>
          <w:b/>
          <w:sz w:val="22"/>
          <w:szCs w:val="22"/>
          <w:u w:val="single"/>
        </w:rPr>
        <w:t xml:space="preserve">Inversiones </w:t>
      </w:r>
    </w:p>
    <w:p w:rsidR="00910EEF" w:rsidRPr="00910EEF" w:rsidRDefault="00910EEF" w:rsidP="006F4761">
      <w:pPr>
        <w:pStyle w:val="Default"/>
        <w:jc w:val="both"/>
        <w:rPr>
          <w:sz w:val="22"/>
          <w:szCs w:val="22"/>
        </w:rPr>
      </w:pPr>
    </w:p>
    <w:p w:rsidR="00910EEF" w:rsidRDefault="00910EEF" w:rsidP="006F4761">
      <w:pPr>
        <w:pStyle w:val="Default"/>
        <w:jc w:val="both"/>
        <w:rPr>
          <w:sz w:val="22"/>
          <w:szCs w:val="22"/>
        </w:rPr>
      </w:pPr>
      <w:r w:rsidRPr="00910EEF">
        <w:rPr>
          <w:sz w:val="22"/>
          <w:szCs w:val="22"/>
        </w:rPr>
        <w:t xml:space="preserve">De acuerdo con la Sección 11 de la NIIF para las PYMES, las inversiones en valores negociables con valor razonable fácilmente determinable se miden a valor razonable con cambios en resultados. Por su parte, las inversiones en títulos de deuda se valoran al costo amortizado, de acuerdo con el método de la tasa de interés efectiva. Las pérdidas y ganancias no realizadas se incluyen en el cambio en activos netos. Los ingresos por inversiones y ganancias limitadas por un donante se revelan como aumentos en los activos netos sin restricciones si las restricciones se cumplen (por el paso del tiempo o por el uso) en el período en el cual se reconocen los ingresos y ganancias. </w:t>
      </w:r>
    </w:p>
    <w:p w:rsidR="00910EEF" w:rsidRDefault="00910EEF" w:rsidP="006F4761">
      <w:pPr>
        <w:pStyle w:val="Default"/>
        <w:jc w:val="both"/>
        <w:rPr>
          <w:sz w:val="22"/>
          <w:szCs w:val="22"/>
        </w:rPr>
      </w:pPr>
    </w:p>
    <w:p w:rsidR="00910EEF" w:rsidRDefault="00910EEF" w:rsidP="006F4761">
      <w:pPr>
        <w:pStyle w:val="Default"/>
        <w:jc w:val="both"/>
        <w:rPr>
          <w:sz w:val="22"/>
          <w:szCs w:val="22"/>
        </w:rPr>
      </w:pPr>
    </w:p>
    <w:p w:rsidR="00910EEF" w:rsidRPr="00910EEF" w:rsidRDefault="00910EEF" w:rsidP="006F4761">
      <w:pPr>
        <w:pStyle w:val="Default"/>
        <w:jc w:val="both"/>
        <w:rPr>
          <w:b/>
          <w:sz w:val="22"/>
          <w:szCs w:val="22"/>
          <w:u w:val="single"/>
        </w:rPr>
      </w:pPr>
      <w:r w:rsidRPr="00910EEF">
        <w:rPr>
          <w:b/>
          <w:sz w:val="22"/>
          <w:szCs w:val="22"/>
          <w:u w:val="single"/>
        </w:rPr>
        <w:t xml:space="preserve">Efectivo y equivalentes de efectivo </w:t>
      </w:r>
    </w:p>
    <w:p w:rsidR="00910EEF" w:rsidRPr="00910EEF" w:rsidRDefault="00910EEF" w:rsidP="006F4761">
      <w:pPr>
        <w:pStyle w:val="Default"/>
        <w:jc w:val="both"/>
        <w:rPr>
          <w:sz w:val="22"/>
          <w:szCs w:val="22"/>
        </w:rPr>
      </w:pPr>
    </w:p>
    <w:p w:rsidR="00B47ACC" w:rsidRDefault="00910EEF" w:rsidP="006F4761">
      <w:pPr>
        <w:pStyle w:val="Default"/>
        <w:jc w:val="both"/>
        <w:rPr>
          <w:sz w:val="22"/>
          <w:szCs w:val="22"/>
        </w:rPr>
      </w:pPr>
      <w:r w:rsidRPr="00910EEF">
        <w:rPr>
          <w:sz w:val="22"/>
          <w:szCs w:val="22"/>
        </w:rPr>
        <w:t xml:space="preserve">Para los propósitos de los estados de flujos de efectivo, la Organización considera todas las inversiones altamente líquidas disponibles para el uso actual con un vencimiento inicial de tres meses o menos como equivalentes de efectivo. </w:t>
      </w:r>
    </w:p>
    <w:p w:rsidR="00B47ACC" w:rsidRDefault="00B47ACC" w:rsidP="006F4761">
      <w:pPr>
        <w:pStyle w:val="Default"/>
        <w:jc w:val="both"/>
        <w:rPr>
          <w:sz w:val="22"/>
          <w:szCs w:val="22"/>
        </w:rPr>
      </w:pPr>
    </w:p>
    <w:p w:rsidR="00B47ACC" w:rsidRDefault="00B47ACC" w:rsidP="006F4761">
      <w:pPr>
        <w:pStyle w:val="Default"/>
        <w:jc w:val="both"/>
        <w:rPr>
          <w:sz w:val="22"/>
          <w:szCs w:val="22"/>
        </w:rPr>
      </w:pPr>
    </w:p>
    <w:p w:rsidR="00B47ACC" w:rsidRPr="00B47ACC" w:rsidRDefault="00B47ACC" w:rsidP="006F4761">
      <w:pPr>
        <w:pStyle w:val="Default"/>
        <w:jc w:val="both"/>
        <w:rPr>
          <w:b/>
          <w:sz w:val="22"/>
          <w:szCs w:val="22"/>
        </w:rPr>
      </w:pPr>
    </w:p>
    <w:p w:rsidR="00910EEF" w:rsidRDefault="00910EEF" w:rsidP="006F4761">
      <w:pPr>
        <w:pStyle w:val="Default"/>
        <w:jc w:val="both"/>
        <w:rPr>
          <w:b/>
          <w:sz w:val="22"/>
          <w:szCs w:val="22"/>
        </w:rPr>
      </w:pPr>
      <w:r w:rsidRPr="00B47ACC">
        <w:rPr>
          <w:b/>
          <w:sz w:val="22"/>
          <w:szCs w:val="22"/>
        </w:rPr>
        <w:t xml:space="preserve">B NOTA: RESTRICCIONES SOBRE LOS ACTIVOS NETOS </w:t>
      </w:r>
    </w:p>
    <w:p w:rsidR="00B47ACC" w:rsidRDefault="00B47ACC" w:rsidP="006F4761">
      <w:pPr>
        <w:pStyle w:val="Default"/>
        <w:jc w:val="both"/>
        <w:rPr>
          <w:b/>
          <w:sz w:val="22"/>
          <w:szCs w:val="22"/>
        </w:rPr>
      </w:pPr>
    </w:p>
    <w:p w:rsidR="00B47ACC" w:rsidRPr="00B47ACC" w:rsidRDefault="00B47ACC" w:rsidP="006F4761">
      <w:pPr>
        <w:pStyle w:val="Default"/>
        <w:jc w:val="both"/>
        <w:rPr>
          <w:b/>
          <w:sz w:val="22"/>
          <w:szCs w:val="22"/>
        </w:rPr>
      </w:pPr>
    </w:p>
    <w:p w:rsidR="00B47ACC" w:rsidRPr="00910EEF" w:rsidRDefault="00B47ACC" w:rsidP="006F4761">
      <w:pPr>
        <w:pStyle w:val="Default"/>
        <w:jc w:val="both"/>
        <w:rPr>
          <w:sz w:val="22"/>
          <w:szCs w:val="22"/>
        </w:rPr>
      </w:pPr>
    </w:p>
    <w:p w:rsidR="00910EEF" w:rsidRDefault="00910EEF" w:rsidP="006F4761">
      <w:pPr>
        <w:pStyle w:val="Default"/>
        <w:jc w:val="both"/>
        <w:rPr>
          <w:sz w:val="22"/>
          <w:szCs w:val="22"/>
        </w:rPr>
      </w:pPr>
      <w:r w:rsidRPr="00910EEF">
        <w:rPr>
          <w:sz w:val="22"/>
          <w:szCs w:val="22"/>
        </w:rPr>
        <w:t xml:space="preserve">Prácticamente la totalidad de las restricciones sobre los activos netos al final de 20X7 y 20X6 se relacionan con los fondos recaudados a través de la campaña de Capital, una unidad para recaudar fondos para la compra un nuevo refugio para hombres, fondos restringidos para la compra de equipo, un fideicomiso de caridad en el que la Organización es un beneficiario y financiación del Grupo Económico Nacional para el próximo año. </w:t>
      </w:r>
    </w:p>
    <w:p w:rsidR="00B47ACC" w:rsidRDefault="00B47ACC" w:rsidP="006F4761">
      <w:pPr>
        <w:pStyle w:val="Default"/>
        <w:jc w:val="both"/>
        <w:rPr>
          <w:sz w:val="22"/>
          <w:szCs w:val="22"/>
        </w:rPr>
      </w:pPr>
    </w:p>
    <w:p w:rsidR="00B47ACC" w:rsidRPr="00910EEF" w:rsidRDefault="00B47ACC" w:rsidP="006F4761">
      <w:pPr>
        <w:pStyle w:val="Default"/>
        <w:jc w:val="both"/>
        <w:rPr>
          <w:sz w:val="22"/>
          <w:szCs w:val="22"/>
        </w:rPr>
      </w:pPr>
    </w:p>
    <w:p w:rsidR="00910EEF" w:rsidRDefault="00910EEF" w:rsidP="006F4761">
      <w:pPr>
        <w:pStyle w:val="Default"/>
        <w:jc w:val="both"/>
        <w:rPr>
          <w:sz w:val="22"/>
          <w:szCs w:val="22"/>
        </w:rPr>
      </w:pPr>
      <w:r w:rsidRPr="00910EEF">
        <w:rPr>
          <w:sz w:val="22"/>
          <w:szCs w:val="22"/>
        </w:rPr>
        <w:t xml:space="preserve">El 20 de octubre de 20X3, la Organización adquirió el terreno y el edificio que utiliza para proporcionar vivienda a mujeres y niños y para oficinas administrativas; la renovación del edificio fue terminada el 20 de enero 2X6. La Organización solicitó contribuciones para esas instalaciones a través de la campaña de Capital. El costo de adquisición y renovación de las instalaciones supera el apoyo público en $48.425. La ayuda obtenida de la campaña de Capital incluye una donación de energía de $98.900 de la Empresa de Energía Distrital que se convertirán en deuda si la Organización cambia el uso de las instalaciones dentro de un plazo determinado. La Organización no tiene intención de cambiar su uso. El efectivo y los compromisos para aportar obtenidos a través de la campaña de Capital se utilizan solo para el pago de las obligaciones a largo plazo garantizadas por el terreno y el edificio. Esas restricciones se considera que caducan cuando los pagos se realizan. Los intereses devengados por la inversión temporal de esas ayudas no tienen restricciones. </w:t>
      </w:r>
    </w:p>
    <w:p w:rsidR="00B47ACC" w:rsidRDefault="00B47ACC" w:rsidP="006F4761">
      <w:pPr>
        <w:pStyle w:val="Default"/>
        <w:jc w:val="both"/>
        <w:rPr>
          <w:sz w:val="22"/>
          <w:szCs w:val="22"/>
        </w:rPr>
      </w:pPr>
    </w:p>
    <w:p w:rsidR="00B47ACC" w:rsidRPr="00910EEF" w:rsidRDefault="00B47ACC" w:rsidP="006F4761">
      <w:pPr>
        <w:pStyle w:val="Default"/>
        <w:jc w:val="both"/>
        <w:rPr>
          <w:sz w:val="22"/>
          <w:szCs w:val="22"/>
        </w:rPr>
      </w:pPr>
    </w:p>
    <w:p w:rsidR="00910EEF" w:rsidRDefault="00910EEF" w:rsidP="006F4761">
      <w:pPr>
        <w:pStyle w:val="Default"/>
        <w:jc w:val="both"/>
        <w:rPr>
          <w:sz w:val="22"/>
          <w:szCs w:val="22"/>
        </w:rPr>
      </w:pPr>
      <w:r w:rsidRPr="00910EEF">
        <w:rPr>
          <w:sz w:val="22"/>
          <w:szCs w:val="22"/>
        </w:rPr>
        <w:lastRenderedPageBreak/>
        <w:t xml:space="preserve">La Organización tiene la intención de adquirir instalaciones para proporcionar vivienda para los hombres. Para financiar los costos de adquisición y renovación, la Organización ha recaudado ayudas por $46.193, de los cuales se han gastado $300, y tiene un compromiso para un préstamo de $124.000 del Banco Central Colombiano. La renovación de las instalaciones se espera que comience en junio de 20X8. El efectivo y los compromisos para aportar están restringidos al pago del costo de adquisición y renovación de las instalaciones. </w:t>
      </w:r>
    </w:p>
    <w:p w:rsidR="00B47ACC" w:rsidRDefault="00B47ACC" w:rsidP="006F4761">
      <w:pPr>
        <w:pStyle w:val="Default"/>
        <w:jc w:val="both"/>
        <w:rPr>
          <w:sz w:val="22"/>
          <w:szCs w:val="22"/>
        </w:rPr>
      </w:pPr>
    </w:p>
    <w:p w:rsidR="00B47ACC" w:rsidRPr="00910EEF" w:rsidRDefault="00B47ACC" w:rsidP="006F4761">
      <w:pPr>
        <w:pStyle w:val="Default"/>
        <w:jc w:val="both"/>
        <w:rPr>
          <w:sz w:val="22"/>
          <w:szCs w:val="22"/>
        </w:rPr>
      </w:pPr>
    </w:p>
    <w:p w:rsidR="00974525" w:rsidRDefault="00B47ACC" w:rsidP="006F4761">
      <w:pPr>
        <w:jc w:val="both"/>
        <w:rPr>
          <w:rFonts w:ascii="Arial" w:hAnsi="Arial" w:cs="Arial"/>
        </w:rPr>
      </w:pPr>
      <w:r w:rsidRPr="00B47ACC">
        <w:rPr>
          <w:rFonts w:ascii="Arial" w:hAnsi="Arial" w:cs="Arial"/>
        </w:rPr>
        <w:t>Los activos netos temporalmente restringidos están disponibles para los siguientes fines o períodos</w:t>
      </w:r>
      <w:r>
        <w:rPr>
          <w:rFonts w:ascii="Arial" w:hAnsi="Arial" w:cs="Arial"/>
        </w:rPr>
        <w:t>:</w:t>
      </w:r>
    </w:p>
    <w:tbl>
      <w:tblPr>
        <w:tblW w:w="9404" w:type="dxa"/>
        <w:tblInd w:w="-5" w:type="dxa"/>
        <w:tblCellMar>
          <w:left w:w="70" w:type="dxa"/>
          <w:right w:w="70" w:type="dxa"/>
        </w:tblCellMar>
        <w:tblLook w:val="04A0" w:firstRow="1" w:lastRow="0" w:firstColumn="1" w:lastColumn="0" w:noHBand="0" w:noVBand="1"/>
      </w:tblPr>
      <w:tblGrid>
        <w:gridCol w:w="5594"/>
        <w:gridCol w:w="1905"/>
        <w:gridCol w:w="1905"/>
      </w:tblGrid>
      <w:tr w:rsidR="00571BAD" w:rsidRPr="00571BAD" w:rsidTr="006E700A">
        <w:trPr>
          <w:trHeight w:val="276"/>
        </w:trPr>
        <w:tc>
          <w:tcPr>
            <w:tcW w:w="5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Calibri" w:eastAsia="Times New Roman" w:hAnsi="Calibri" w:cs="Times New Roman"/>
                <w:color w:val="000000"/>
                <w:lang w:eastAsia="es-CO"/>
              </w:rPr>
            </w:pPr>
            <w:r w:rsidRPr="00571BAD">
              <w:rPr>
                <w:rFonts w:ascii="Calibri" w:eastAsia="Times New Roman" w:hAnsi="Calibri" w:cs="Times New Roman"/>
                <w:color w:val="000000"/>
                <w:lang w:eastAsia="es-CO"/>
              </w:rPr>
              <w:t> </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Calibri" w:eastAsia="Times New Roman" w:hAnsi="Calibri" w:cs="Times New Roman"/>
                <w:b/>
                <w:bCs/>
                <w:color w:val="000000"/>
                <w:u w:val="single"/>
                <w:lang w:eastAsia="es-CO"/>
              </w:rPr>
            </w:pPr>
            <w:r w:rsidRPr="00571BAD">
              <w:rPr>
                <w:rFonts w:ascii="Calibri" w:eastAsia="Times New Roman" w:hAnsi="Calibri" w:cs="Times New Roman"/>
                <w:b/>
                <w:bCs/>
                <w:color w:val="000000"/>
                <w:u w:val="single"/>
                <w:lang w:eastAsia="es-CO"/>
              </w:rPr>
              <w:t xml:space="preserve"> 20x7 </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Calibri" w:eastAsia="Times New Roman" w:hAnsi="Calibri" w:cs="Times New Roman"/>
                <w:b/>
                <w:bCs/>
                <w:color w:val="000000"/>
                <w:u w:val="single"/>
                <w:lang w:eastAsia="es-CO"/>
              </w:rPr>
            </w:pPr>
            <w:r w:rsidRPr="00571BAD">
              <w:rPr>
                <w:rFonts w:ascii="Calibri" w:eastAsia="Times New Roman" w:hAnsi="Calibri" w:cs="Times New Roman"/>
                <w:b/>
                <w:bCs/>
                <w:color w:val="000000"/>
                <w:u w:val="single"/>
                <w:lang w:eastAsia="es-CO"/>
              </w:rPr>
              <w:t xml:space="preserve"> 20x6 </w:t>
            </w:r>
          </w:p>
        </w:tc>
      </w:tr>
      <w:tr w:rsidR="00571BAD" w:rsidRPr="00571BAD" w:rsidTr="006E700A">
        <w:trPr>
          <w:trHeight w:val="245"/>
        </w:trPr>
        <w:tc>
          <w:tcPr>
            <w:tcW w:w="5594" w:type="dxa"/>
            <w:tcBorders>
              <w:top w:val="nil"/>
              <w:left w:val="single" w:sz="4" w:space="0" w:color="auto"/>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Arial" w:eastAsia="Times New Roman" w:hAnsi="Arial" w:cs="Arial"/>
                <w:color w:val="000000"/>
                <w:lang w:eastAsia="es-CO"/>
              </w:rPr>
            </w:pPr>
            <w:r w:rsidRPr="00571BAD">
              <w:rPr>
                <w:rFonts w:ascii="Arial" w:eastAsia="Times New Roman" w:hAnsi="Arial" w:cs="Arial"/>
                <w:color w:val="000000"/>
                <w:lang w:eastAsia="es-CO"/>
              </w:rPr>
              <w:t>Acuerdo de fideicomiso de caridad</w:t>
            </w:r>
          </w:p>
        </w:tc>
        <w:tc>
          <w:tcPr>
            <w:tcW w:w="1905" w:type="dxa"/>
            <w:tcBorders>
              <w:top w:val="nil"/>
              <w:left w:val="nil"/>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Calibri" w:eastAsia="Times New Roman" w:hAnsi="Calibri" w:cs="Times New Roman"/>
                <w:color w:val="000000"/>
                <w:lang w:eastAsia="es-CO"/>
              </w:rPr>
            </w:pPr>
            <w:r w:rsidRPr="00571BAD">
              <w:rPr>
                <w:rFonts w:ascii="Calibri" w:eastAsia="Times New Roman" w:hAnsi="Calibri" w:cs="Times New Roman"/>
                <w:color w:val="000000"/>
                <w:lang w:eastAsia="es-CO"/>
              </w:rPr>
              <w:t xml:space="preserve">        206,800 </w:t>
            </w:r>
          </w:p>
        </w:tc>
        <w:tc>
          <w:tcPr>
            <w:tcW w:w="1905" w:type="dxa"/>
            <w:tcBorders>
              <w:top w:val="nil"/>
              <w:left w:val="nil"/>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Calibri" w:eastAsia="Times New Roman" w:hAnsi="Calibri" w:cs="Times New Roman"/>
                <w:color w:val="000000"/>
                <w:lang w:eastAsia="es-CO"/>
              </w:rPr>
            </w:pPr>
            <w:r w:rsidRPr="00571BAD">
              <w:rPr>
                <w:rFonts w:ascii="Calibri" w:eastAsia="Times New Roman" w:hAnsi="Calibri" w:cs="Times New Roman"/>
                <w:color w:val="000000"/>
                <w:lang w:eastAsia="es-CO"/>
              </w:rPr>
              <w:t xml:space="preserve">        230,000 </w:t>
            </w:r>
          </w:p>
        </w:tc>
      </w:tr>
      <w:tr w:rsidR="00571BAD" w:rsidRPr="00571BAD" w:rsidTr="006E700A">
        <w:trPr>
          <w:trHeight w:val="245"/>
        </w:trPr>
        <w:tc>
          <w:tcPr>
            <w:tcW w:w="5594" w:type="dxa"/>
            <w:tcBorders>
              <w:top w:val="nil"/>
              <w:left w:val="single" w:sz="4" w:space="0" w:color="auto"/>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Arial" w:eastAsia="Times New Roman" w:hAnsi="Arial" w:cs="Arial"/>
                <w:color w:val="000000"/>
                <w:lang w:eastAsia="es-CO"/>
              </w:rPr>
            </w:pPr>
            <w:r w:rsidRPr="00571BAD">
              <w:rPr>
                <w:rFonts w:ascii="Arial" w:eastAsia="Times New Roman" w:hAnsi="Arial" w:cs="Arial"/>
                <w:color w:val="000000"/>
                <w:lang w:eastAsia="es-CO"/>
              </w:rPr>
              <w:t>Pago de deuda a largo plazo</w:t>
            </w:r>
          </w:p>
        </w:tc>
        <w:tc>
          <w:tcPr>
            <w:tcW w:w="1905" w:type="dxa"/>
            <w:tcBorders>
              <w:top w:val="nil"/>
              <w:left w:val="nil"/>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Calibri" w:eastAsia="Times New Roman" w:hAnsi="Calibri" w:cs="Times New Roman"/>
                <w:color w:val="000000"/>
                <w:lang w:eastAsia="es-CO"/>
              </w:rPr>
            </w:pPr>
            <w:r w:rsidRPr="00571BAD">
              <w:rPr>
                <w:rFonts w:ascii="Calibri" w:eastAsia="Times New Roman" w:hAnsi="Calibri" w:cs="Times New Roman"/>
                <w:color w:val="000000"/>
                <w:lang w:eastAsia="es-CO"/>
              </w:rPr>
              <w:t xml:space="preserve">           53,157 </w:t>
            </w:r>
          </w:p>
        </w:tc>
        <w:tc>
          <w:tcPr>
            <w:tcW w:w="1905" w:type="dxa"/>
            <w:tcBorders>
              <w:top w:val="nil"/>
              <w:left w:val="nil"/>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Calibri" w:eastAsia="Times New Roman" w:hAnsi="Calibri" w:cs="Times New Roman"/>
                <w:color w:val="000000"/>
                <w:lang w:eastAsia="es-CO"/>
              </w:rPr>
            </w:pPr>
            <w:r w:rsidRPr="00571BAD">
              <w:rPr>
                <w:rFonts w:ascii="Calibri" w:eastAsia="Times New Roman" w:hAnsi="Calibri" w:cs="Times New Roman"/>
                <w:color w:val="000000"/>
                <w:lang w:eastAsia="es-CO"/>
              </w:rPr>
              <w:t xml:space="preserve">           59,467 </w:t>
            </w:r>
          </w:p>
        </w:tc>
      </w:tr>
      <w:tr w:rsidR="00571BAD" w:rsidRPr="00571BAD" w:rsidTr="006E700A">
        <w:trPr>
          <w:trHeight w:val="245"/>
        </w:trPr>
        <w:tc>
          <w:tcPr>
            <w:tcW w:w="5594" w:type="dxa"/>
            <w:tcBorders>
              <w:top w:val="nil"/>
              <w:left w:val="single" w:sz="4" w:space="0" w:color="auto"/>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Arial" w:eastAsia="Times New Roman" w:hAnsi="Arial" w:cs="Arial"/>
                <w:color w:val="000000"/>
                <w:lang w:eastAsia="es-CO"/>
              </w:rPr>
            </w:pPr>
            <w:r w:rsidRPr="00571BAD">
              <w:rPr>
                <w:rFonts w:ascii="Arial" w:eastAsia="Times New Roman" w:hAnsi="Arial" w:cs="Arial"/>
                <w:color w:val="000000"/>
                <w:lang w:eastAsia="es-CO"/>
              </w:rPr>
              <w:t>Compra de nuevo refugio para hombres</w:t>
            </w:r>
          </w:p>
        </w:tc>
        <w:tc>
          <w:tcPr>
            <w:tcW w:w="1905" w:type="dxa"/>
            <w:tcBorders>
              <w:top w:val="nil"/>
              <w:left w:val="nil"/>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Calibri" w:eastAsia="Times New Roman" w:hAnsi="Calibri" w:cs="Times New Roman"/>
                <w:color w:val="000000"/>
                <w:lang w:eastAsia="es-CO"/>
              </w:rPr>
            </w:pPr>
            <w:r w:rsidRPr="00571BAD">
              <w:rPr>
                <w:rFonts w:ascii="Calibri" w:eastAsia="Times New Roman" w:hAnsi="Calibri" w:cs="Times New Roman"/>
                <w:color w:val="000000"/>
                <w:lang w:eastAsia="es-CO"/>
              </w:rPr>
              <w:t xml:space="preserve">           45,893 </w:t>
            </w:r>
          </w:p>
        </w:tc>
        <w:tc>
          <w:tcPr>
            <w:tcW w:w="1905" w:type="dxa"/>
            <w:tcBorders>
              <w:top w:val="nil"/>
              <w:left w:val="nil"/>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Calibri" w:eastAsia="Times New Roman" w:hAnsi="Calibri" w:cs="Times New Roman"/>
                <w:color w:val="000000"/>
                <w:lang w:eastAsia="es-CO"/>
              </w:rPr>
            </w:pPr>
            <w:r w:rsidRPr="00571BAD">
              <w:rPr>
                <w:rFonts w:ascii="Calibri" w:eastAsia="Times New Roman" w:hAnsi="Calibri" w:cs="Times New Roman"/>
                <w:color w:val="000000"/>
                <w:lang w:eastAsia="es-CO"/>
              </w:rPr>
              <w:t xml:space="preserve">                   -   </w:t>
            </w:r>
          </w:p>
        </w:tc>
      </w:tr>
      <w:tr w:rsidR="00571BAD" w:rsidRPr="00571BAD" w:rsidTr="006E700A">
        <w:trPr>
          <w:trHeight w:val="245"/>
        </w:trPr>
        <w:tc>
          <w:tcPr>
            <w:tcW w:w="5594" w:type="dxa"/>
            <w:tcBorders>
              <w:top w:val="nil"/>
              <w:left w:val="single" w:sz="4" w:space="0" w:color="auto"/>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Arial" w:eastAsia="Times New Roman" w:hAnsi="Arial" w:cs="Arial"/>
                <w:color w:val="000000"/>
                <w:lang w:eastAsia="es-CO"/>
              </w:rPr>
            </w:pPr>
            <w:r w:rsidRPr="00571BAD">
              <w:rPr>
                <w:rFonts w:ascii="Arial" w:eastAsia="Times New Roman" w:hAnsi="Arial" w:cs="Arial"/>
                <w:color w:val="000000"/>
                <w:lang w:eastAsia="es-CO"/>
              </w:rPr>
              <w:t>Compra de equipo</w:t>
            </w:r>
          </w:p>
        </w:tc>
        <w:tc>
          <w:tcPr>
            <w:tcW w:w="1905" w:type="dxa"/>
            <w:tcBorders>
              <w:top w:val="nil"/>
              <w:left w:val="nil"/>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Calibri" w:eastAsia="Times New Roman" w:hAnsi="Calibri" w:cs="Times New Roman"/>
                <w:color w:val="000000"/>
                <w:lang w:eastAsia="es-CO"/>
              </w:rPr>
            </w:pPr>
            <w:r w:rsidRPr="00571BAD">
              <w:rPr>
                <w:rFonts w:ascii="Calibri" w:eastAsia="Times New Roman" w:hAnsi="Calibri" w:cs="Times New Roman"/>
                <w:color w:val="000000"/>
                <w:lang w:eastAsia="es-CO"/>
              </w:rPr>
              <w:t xml:space="preserve">           30,000 </w:t>
            </w:r>
          </w:p>
        </w:tc>
        <w:tc>
          <w:tcPr>
            <w:tcW w:w="1905" w:type="dxa"/>
            <w:tcBorders>
              <w:top w:val="nil"/>
              <w:left w:val="nil"/>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Calibri" w:eastAsia="Times New Roman" w:hAnsi="Calibri" w:cs="Times New Roman"/>
                <w:color w:val="000000"/>
                <w:lang w:eastAsia="es-CO"/>
              </w:rPr>
            </w:pPr>
            <w:r w:rsidRPr="00571BAD">
              <w:rPr>
                <w:rFonts w:ascii="Calibri" w:eastAsia="Times New Roman" w:hAnsi="Calibri" w:cs="Times New Roman"/>
                <w:color w:val="000000"/>
                <w:lang w:eastAsia="es-CO"/>
              </w:rPr>
              <w:t xml:space="preserve">                   -   </w:t>
            </w:r>
          </w:p>
        </w:tc>
      </w:tr>
      <w:tr w:rsidR="00571BAD" w:rsidRPr="00571BAD" w:rsidTr="006E700A">
        <w:trPr>
          <w:trHeight w:val="276"/>
        </w:trPr>
        <w:tc>
          <w:tcPr>
            <w:tcW w:w="5594" w:type="dxa"/>
            <w:tcBorders>
              <w:top w:val="nil"/>
              <w:left w:val="single" w:sz="4" w:space="0" w:color="auto"/>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Arial" w:eastAsia="Times New Roman" w:hAnsi="Arial" w:cs="Arial"/>
                <w:color w:val="000000"/>
                <w:lang w:eastAsia="es-CO"/>
              </w:rPr>
            </w:pPr>
            <w:r w:rsidRPr="00571BAD">
              <w:rPr>
                <w:rFonts w:ascii="Arial" w:eastAsia="Times New Roman" w:hAnsi="Arial" w:cs="Arial"/>
                <w:color w:val="000000"/>
                <w:lang w:eastAsia="es-CO"/>
              </w:rPr>
              <w:t>Para periodos posteriores</w:t>
            </w:r>
          </w:p>
        </w:tc>
        <w:tc>
          <w:tcPr>
            <w:tcW w:w="1905" w:type="dxa"/>
            <w:tcBorders>
              <w:top w:val="nil"/>
              <w:left w:val="nil"/>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Calibri" w:eastAsia="Times New Roman" w:hAnsi="Calibri" w:cs="Times New Roman"/>
                <w:color w:val="000000"/>
                <w:u w:val="single"/>
                <w:lang w:eastAsia="es-CO"/>
              </w:rPr>
            </w:pPr>
            <w:r w:rsidRPr="00571BAD">
              <w:rPr>
                <w:rFonts w:ascii="Calibri" w:eastAsia="Times New Roman" w:hAnsi="Calibri" w:cs="Times New Roman"/>
                <w:color w:val="000000"/>
                <w:u w:val="single"/>
                <w:lang w:eastAsia="es-CO"/>
              </w:rPr>
              <w:t xml:space="preserve">        156,275 </w:t>
            </w:r>
          </w:p>
        </w:tc>
        <w:tc>
          <w:tcPr>
            <w:tcW w:w="1905" w:type="dxa"/>
            <w:tcBorders>
              <w:top w:val="nil"/>
              <w:left w:val="nil"/>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Calibri" w:eastAsia="Times New Roman" w:hAnsi="Calibri" w:cs="Times New Roman"/>
                <w:color w:val="000000"/>
                <w:u w:val="single"/>
                <w:lang w:eastAsia="es-CO"/>
              </w:rPr>
            </w:pPr>
            <w:r w:rsidRPr="00571BAD">
              <w:rPr>
                <w:rFonts w:ascii="Calibri" w:eastAsia="Times New Roman" w:hAnsi="Calibri" w:cs="Times New Roman"/>
                <w:color w:val="000000"/>
                <w:u w:val="single"/>
                <w:lang w:eastAsia="es-CO"/>
              </w:rPr>
              <w:t xml:space="preserve">        146,465 </w:t>
            </w:r>
          </w:p>
        </w:tc>
      </w:tr>
      <w:tr w:rsidR="00571BAD" w:rsidRPr="00571BAD" w:rsidTr="006E700A">
        <w:trPr>
          <w:trHeight w:val="245"/>
        </w:trPr>
        <w:tc>
          <w:tcPr>
            <w:tcW w:w="5594" w:type="dxa"/>
            <w:tcBorders>
              <w:top w:val="nil"/>
              <w:left w:val="single" w:sz="4" w:space="0" w:color="auto"/>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Calibri" w:eastAsia="Times New Roman" w:hAnsi="Calibri" w:cs="Times New Roman"/>
                <w:color w:val="000000"/>
                <w:lang w:eastAsia="es-CO"/>
              </w:rPr>
            </w:pPr>
            <w:r w:rsidRPr="00571BAD">
              <w:rPr>
                <w:rFonts w:ascii="Calibri" w:eastAsia="Times New Roman" w:hAnsi="Calibri" w:cs="Times New Roman"/>
                <w:color w:val="000000"/>
                <w:lang w:eastAsia="es-CO"/>
              </w:rPr>
              <w:t> </w:t>
            </w:r>
          </w:p>
        </w:tc>
        <w:tc>
          <w:tcPr>
            <w:tcW w:w="1905" w:type="dxa"/>
            <w:tcBorders>
              <w:top w:val="nil"/>
              <w:left w:val="nil"/>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Calibri" w:eastAsia="Times New Roman" w:hAnsi="Calibri" w:cs="Times New Roman"/>
                <w:b/>
                <w:bCs/>
                <w:color w:val="000000"/>
                <w:lang w:eastAsia="es-CO"/>
              </w:rPr>
            </w:pPr>
            <w:r w:rsidRPr="00571BAD">
              <w:rPr>
                <w:rFonts w:ascii="Calibri" w:eastAsia="Times New Roman" w:hAnsi="Calibri" w:cs="Times New Roman"/>
                <w:b/>
                <w:bCs/>
                <w:color w:val="000000"/>
                <w:lang w:eastAsia="es-CO"/>
              </w:rPr>
              <w:t xml:space="preserve">        492,125 </w:t>
            </w:r>
          </w:p>
        </w:tc>
        <w:tc>
          <w:tcPr>
            <w:tcW w:w="1905" w:type="dxa"/>
            <w:tcBorders>
              <w:top w:val="nil"/>
              <w:left w:val="nil"/>
              <w:bottom w:val="single" w:sz="4" w:space="0" w:color="auto"/>
              <w:right w:val="single" w:sz="4" w:space="0" w:color="auto"/>
            </w:tcBorders>
            <w:shd w:val="clear" w:color="auto" w:fill="auto"/>
            <w:noWrap/>
            <w:vAlign w:val="bottom"/>
            <w:hideMark/>
          </w:tcPr>
          <w:p w:rsidR="00571BAD" w:rsidRPr="00571BAD" w:rsidRDefault="00571BAD" w:rsidP="006F4761">
            <w:pPr>
              <w:spacing w:after="0" w:line="240" w:lineRule="auto"/>
              <w:jc w:val="both"/>
              <w:rPr>
                <w:rFonts w:ascii="Calibri" w:eastAsia="Times New Roman" w:hAnsi="Calibri" w:cs="Times New Roman"/>
                <w:b/>
                <w:bCs/>
                <w:color w:val="000000"/>
                <w:lang w:eastAsia="es-CO"/>
              </w:rPr>
            </w:pPr>
            <w:r w:rsidRPr="00571BAD">
              <w:rPr>
                <w:rFonts w:ascii="Calibri" w:eastAsia="Times New Roman" w:hAnsi="Calibri" w:cs="Times New Roman"/>
                <w:b/>
                <w:bCs/>
                <w:color w:val="000000"/>
                <w:lang w:eastAsia="es-CO"/>
              </w:rPr>
              <w:t xml:space="preserve">        435,932 </w:t>
            </w:r>
          </w:p>
        </w:tc>
      </w:tr>
    </w:tbl>
    <w:p w:rsidR="00B47ACC" w:rsidRDefault="00B47ACC" w:rsidP="006F4761">
      <w:pPr>
        <w:jc w:val="both"/>
        <w:rPr>
          <w:rFonts w:ascii="Arial" w:hAnsi="Arial" w:cs="Arial"/>
        </w:rPr>
      </w:pPr>
    </w:p>
    <w:p w:rsidR="00571BAD" w:rsidRDefault="00910EEF" w:rsidP="006F4761">
      <w:pPr>
        <w:pStyle w:val="Default"/>
        <w:jc w:val="both"/>
        <w:rPr>
          <w:sz w:val="22"/>
          <w:szCs w:val="22"/>
        </w:rPr>
      </w:pPr>
      <w:r w:rsidRPr="00910EEF">
        <w:rPr>
          <w:sz w:val="22"/>
          <w:szCs w:val="22"/>
        </w:rPr>
        <w:t>Los activos netos permanentemente restringidos consisten en inversiones de fondos de aportes permanentes para mantenerse por tiempo indefinido, de cuyos ingresos se efectúan los gastos necesarios para apoyar los servicios de los programas para mujeres y niños.</w:t>
      </w:r>
    </w:p>
    <w:p w:rsidR="00571BAD" w:rsidRDefault="00571BAD" w:rsidP="006F4761">
      <w:pPr>
        <w:pStyle w:val="Default"/>
        <w:jc w:val="both"/>
        <w:rPr>
          <w:sz w:val="22"/>
          <w:szCs w:val="22"/>
        </w:rPr>
      </w:pPr>
    </w:p>
    <w:p w:rsidR="00910EEF" w:rsidRPr="00571BAD" w:rsidRDefault="00910EEF" w:rsidP="006F4761">
      <w:pPr>
        <w:pStyle w:val="Default"/>
        <w:jc w:val="both"/>
        <w:rPr>
          <w:b/>
          <w:sz w:val="22"/>
          <w:szCs w:val="22"/>
        </w:rPr>
      </w:pPr>
      <w:r w:rsidRPr="00571BAD">
        <w:rPr>
          <w:b/>
          <w:sz w:val="22"/>
          <w:szCs w:val="22"/>
        </w:rPr>
        <w:t xml:space="preserve"> </w:t>
      </w:r>
    </w:p>
    <w:p w:rsidR="00910EEF" w:rsidRPr="00571BAD" w:rsidRDefault="00910EEF" w:rsidP="006F4761">
      <w:pPr>
        <w:pStyle w:val="Default"/>
        <w:jc w:val="both"/>
        <w:rPr>
          <w:b/>
          <w:sz w:val="22"/>
          <w:szCs w:val="22"/>
        </w:rPr>
      </w:pPr>
      <w:r w:rsidRPr="00571BAD">
        <w:rPr>
          <w:b/>
          <w:sz w:val="22"/>
          <w:szCs w:val="22"/>
        </w:rPr>
        <w:t xml:space="preserve">NOTA C — COMPROMISOS PARA APORTAR </w:t>
      </w:r>
    </w:p>
    <w:p w:rsidR="00571BAD" w:rsidRDefault="00571BAD" w:rsidP="006F4761">
      <w:pPr>
        <w:pStyle w:val="Default"/>
        <w:jc w:val="both"/>
        <w:rPr>
          <w:sz w:val="22"/>
          <w:szCs w:val="22"/>
        </w:rPr>
      </w:pPr>
    </w:p>
    <w:p w:rsidR="00571BAD" w:rsidRPr="00571BAD" w:rsidRDefault="00571BAD" w:rsidP="006F4761">
      <w:pPr>
        <w:pStyle w:val="Default"/>
        <w:jc w:val="both"/>
        <w:rPr>
          <w:sz w:val="22"/>
          <w:szCs w:val="22"/>
        </w:rPr>
      </w:pPr>
      <w:r w:rsidRPr="00571BAD">
        <w:rPr>
          <w:sz w:val="22"/>
          <w:szCs w:val="22"/>
        </w:rPr>
        <w:t>Los compromisos incondicionales para aportar consisten en lo siguiente:</w:t>
      </w:r>
    </w:p>
    <w:p w:rsidR="00571BAD" w:rsidRDefault="00571BAD" w:rsidP="006F4761">
      <w:pPr>
        <w:pStyle w:val="Default"/>
        <w:jc w:val="both"/>
        <w:rPr>
          <w:sz w:val="22"/>
          <w:szCs w:val="22"/>
        </w:rPr>
      </w:pPr>
    </w:p>
    <w:tbl>
      <w:tblPr>
        <w:tblW w:w="9427" w:type="dxa"/>
        <w:tblInd w:w="-5" w:type="dxa"/>
        <w:tblCellMar>
          <w:left w:w="70" w:type="dxa"/>
          <w:right w:w="70" w:type="dxa"/>
        </w:tblCellMar>
        <w:tblLook w:val="04A0" w:firstRow="1" w:lastRow="0" w:firstColumn="1" w:lastColumn="0" w:noHBand="0" w:noVBand="1"/>
      </w:tblPr>
      <w:tblGrid>
        <w:gridCol w:w="6797"/>
        <w:gridCol w:w="1315"/>
        <w:gridCol w:w="1315"/>
      </w:tblGrid>
      <w:tr w:rsidR="006E700A" w:rsidRPr="006E700A" w:rsidTr="006E700A">
        <w:trPr>
          <w:trHeight w:val="219"/>
        </w:trPr>
        <w:tc>
          <w:tcPr>
            <w:tcW w:w="6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w:t>
            </w:r>
          </w:p>
        </w:tc>
        <w:tc>
          <w:tcPr>
            <w:tcW w:w="1315" w:type="dxa"/>
            <w:tcBorders>
              <w:top w:val="single" w:sz="4" w:space="0" w:color="auto"/>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b/>
                <w:bCs/>
                <w:color w:val="000000"/>
                <w:u w:val="single"/>
                <w:lang w:eastAsia="es-CO"/>
              </w:rPr>
            </w:pPr>
            <w:r w:rsidRPr="006E700A">
              <w:rPr>
                <w:rFonts w:ascii="Calibri" w:eastAsia="Times New Roman" w:hAnsi="Calibri" w:cs="Times New Roman"/>
                <w:b/>
                <w:bCs/>
                <w:color w:val="000000"/>
                <w:u w:val="single"/>
                <w:lang w:eastAsia="es-CO"/>
              </w:rPr>
              <w:t xml:space="preserve"> 20x7 </w:t>
            </w:r>
          </w:p>
        </w:tc>
        <w:tc>
          <w:tcPr>
            <w:tcW w:w="1315" w:type="dxa"/>
            <w:tcBorders>
              <w:top w:val="single" w:sz="4" w:space="0" w:color="auto"/>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b/>
                <w:bCs/>
                <w:color w:val="000000"/>
                <w:u w:val="single"/>
                <w:lang w:eastAsia="es-CO"/>
              </w:rPr>
            </w:pPr>
            <w:r w:rsidRPr="006E700A">
              <w:rPr>
                <w:rFonts w:ascii="Calibri" w:eastAsia="Times New Roman" w:hAnsi="Calibri" w:cs="Times New Roman"/>
                <w:b/>
                <w:bCs/>
                <w:color w:val="000000"/>
                <w:u w:val="single"/>
                <w:lang w:eastAsia="es-CO"/>
              </w:rPr>
              <w:t xml:space="preserve"> 20x6 </w:t>
            </w:r>
          </w:p>
        </w:tc>
      </w:tr>
      <w:tr w:rsidR="006E700A" w:rsidRPr="006E700A" w:rsidTr="006E700A">
        <w:trPr>
          <w:trHeight w:val="194"/>
        </w:trPr>
        <w:tc>
          <w:tcPr>
            <w:tcW w:w="6797"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Compromisos sin restricciones</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xml:space="preserve">                   -   </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xml:space="preserve">             5,748 </w:t>
            </w:r>
          </w:p>
        </w:tc>
      </w:tr>
      <w:tr w:rsidR="006E700A" w:rsidRPr="006E700A" w:rsidTr="006E700A">
        <w:trPr>
          <w:trHeight w:val="194"/>
        </w:trPr>
        <w:tc>
          <w:tcPr>
            <w:tcW w:w="6797"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Grupo Económico Nacional</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xml:space="preserve">        154,938 </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xml:space="preserve">        135,256 </w:t>
            </w:r>
          </w:p>
        </w:tc>
      </w:tr>
      <w:tr w:rsidR="006E700A" w:rsidRPr="006E700A" w:rsidTr="006E700A">
        <w:trPr>
          <w:trHeight w:val="194"/>
        </w:trPr>
        <w:tc>
          <w:tcPr>
            <w:tcW w:w="6797"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Compromisos restringidos al pago de deuda a largo plazo</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xml:space="preserve">           41,400 </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xml:space="preserve">           58,171 </w:t>
            </w:r>
          </w:p>
        </w:tc>
      </w:tr>
      <w:tr w:rsidR="006E700A" w:rsidRPr="006E700A" w:rsidTr="006E700A">
        <w:trPr>
          <w:trHeight w:val="194"/>
        </w:trPr>
        <w:tc>
          <w:tcPr>
            <w:tcW w:w="6797"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Compromisos restringidos a la compra del nuevo refugio para hombres</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xml:space="preserve">             6,950 </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xml:space="preserve">                   -   </w:t>
            </w:r>
          </w:p>
        </w:tc>
      </w:tr>
      <w:tr w:rsidR="006E700A" w:rsidRPr="006E700A" w:rsidTr="006E700A">
        <w:trPr>
          <w:trHeight w:val="194"/>
        </w:trPr>
        <w:tc>
          <w:tcPr>
            <w:tcW w:w="6797"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Compromisos incondicionales para aportar brutos</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b/>
                <w:bCs/>
                <w:color w:val="000000"/>
                <w:lang w:eastAsia="es-CO"/>
              </w:rPr>
            </w:pPr>
            <w:r w:rsidRPr="006E700A">
              <w:rPr>
                <w:rFonts w:ascii="Calibri" w:eastAsia="Times New Roman" w:hAnsi="Calibri" w:cs="Times New Roman"/>
                <w:b/>
                <w:bCs/>
                <w:color w:val="000000"/>
                <w:lang w:eastAsia="es-CO"/>
              </w:rPr>
              <w:t xml:space="preserve">        203,288 </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b/>
                <w:bCs/>
                <w:color w:val="000000"/>
                <w:lang w:eastAsia="es-CO"/>
              </w:rPr>
            </w:pPr>
            <w:r w:rsidRPr="006E700A">
              <w:rPr>
                <w:rFonts w:ascii="Calibri" w:eastAsia="Times New Roman" w:hAnsi="Calibri" w:cs="Times New Roman"/>
                <w:b/>
                <w:bCs/>
                <w:color w:val="000000"/>
                <w:lang w:eastAsia="es-CO"/>
              </w:rPr>
              <w:t xml:space="preserve">        199,175 </w:t>
            </w:r>
          </w:p>
        </w:tc>
      </w:tr>
      <w:tr w:rsidR="006E700A" w:rsidRPr="006E700A" w:rsidTr="006E700A">
        <w:trPr>
          <w:trHeight w:val="219"/>
        </w:trPr>
        <w:tc>
          <w:tcPr>
            <w:tcW w:w="6797"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Menos: Descuento no amortizado</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u w:val="single"/>
                <w:lang w:eastAsia="es-CO"/>
              </w:rPr>
            </w:pPr>
            <w:r w:rsidRPr="006E700A">
              <w:rPr>
                <w:rFonts w:ascii="Calibri" w:eastAsia="Times New Roman" w:hAnsi="Calibri" w:cs="Times New Roman"/>
                <w:color w:val="000000"/>
                <w:u w:val="single"/>
                <w:lang w:eastAsia="es-CO"/>
              </w:rPr>
              <w:t xml:space="preserve">-           5,100 </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u w:val="single"/>
                <w:lang w:eastAsia="es-CO"/>
              </w:rPr>
            </w:pPr>
            <w:r w:rsidRPr="006E700A">
              <w:rPr>
                <w:rFonts w:ascii="Calibri" w:eastAsia="Times New Roman" w:hAnsi="Calibri" w:cs="Times New Roman"/>
                <w:color w:val="000000"/>
                <w:u w:val="single"/>
                <w:lang w:eastAsia="es-CO"/>
              </w:rPr>
              <w:t xml:space="preserve">-           8,871 </w:t>
            </w:r>
          </w:p>
        </w:tc>
      </w:tr>
      <w:tr w:rsidR="006E700A" w:rsidRPr="006E700A" w:rsidTr="006E700A">
        <w:trPr>
          <w:trHeight w:val="194"/>
        </w:trPr>
        <w:tc>
          <w:tcPr>
            <w:tcW w:w="6797"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Compromisos incondicionales para aportar netos</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b/>
                <w:bCs/>
                <w:color w:val="000000"/>
                <w:lang w:eastAsia="es-CO"/>
              </w:rPr>
            </w:pPr>
            <w:r w:rsidRPr="006E700A">
              <w:rPr>
                <w:rFonts w:ascii="Calibri" w:eastAsia="Times New Roman" w:hAnsi="Calibri" w:cs="Times New Roman"/>
                <w:b/>
                <w:bCs/>
                <w:color w:val="000000"/>
                <w:lang w:eastAsia="es-CO"/>
              </w:rPr>
              <w:t xml:space="preserve">        198,188 </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b/>
                <w:bCs/>
                <w:color w:val="000000"/>
                <w:lang w:eastAsia="es-CO"/>
              </w:rPr>
            </w:pPr>
            <w:r w:rsidRPr="006E700A">
              <w:rPr>
                <w:rFonts w:ascii="Calibri" w:eastAsia="Times New Roman" w:hAnsi="Calibri" w:cs="Times New Roman"/>
                <w:b/>
                <w:bCs/>
                <w:color w:val="000000"/>
                <w:lang w:eastAsia="es-CO"/>
              </w:rPr>
              <w:t xml:space="preserve">        190,304 </w:t>
            </w:r>
          </w:p>
        </w:tc>
      </w:tr>
      <w:tr w:rsidR="006E700A" w:rsidRPr="006E700A" w:rsidTr="006E700A">
        <w:trPr>
          <w:trHeight w:val="194"/>
        </w:trPr>
        <w:tc>
          <w:tcPr>
            <w:tcW w:w="6797"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b/>
                <w:bCs/>
                <w:color w:val="000000"/>
                <w:lang w:eastAsia="es-CO"/>
              </w:rPr>
            </w:pPr>
            <w:r w:rsidRPr="006E700A">
              <w:rPr>
                <w:rFonts w:ascii="Calibri" w:eastAsia="Times New Roman" w:hAnsi="Calibri" w:cs="Times New Roman"/>
                <w:b/>
                <w:bCs/>
                <w:color w:val="000000"/>
                <w:lang w:eastAsia="es-CO"/>
              </w:rPr>
              <w:t> </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b/>
                <w:bCs/>
                <w:color w:val="000000"/>
                <w:lang w:eastAsia="es-CO"/>
              </w:rPr>
            </w:pPr>
            <w:r w:rsidRPr="006E700A">
              <w:rPr>
                <w:rFonts w:ascii="Calibri" w:eastAsia="Times New Roman" w:hAnsi="Calibri" w:cs="Times New Roman"/>
                <w:b/>
                <w:bCs/>
                <w:color w:val="000000"/>
                <w:lang w:eastAsia="es-CO"/>
              </w:rPr>
              <w:t> </w:t>
            </w:r>
          </w:p>
        </w:tc>
      </w:tr>
      <w:tr w:rsidR="006E700A" w:rsidRPr="006E700A" w:rsidTr="006E700A">
        <w:trPr>
          <w:trHeight w:val="194"/>
        </w:trPr>
        <w:tc>
          <w:tcPr>
            <w:tcW w:w="6797"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Compromisos pagaderos en:</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w:t>
            </w:r>
          </w:p>
        </w:tc>
      </w:tr>
      <w:tr w:rsidR="006E700A" w:rsidRPr="006E700A" w:rsidTr="006E700A">
        <w:trPr>
          <w:trHeight w:val="194"/>
        </w:trPr>
        <w:tc>
          <w:tcPr>
            <w:tcW w:w="6797"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Menos de un año</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xml:space="preserve">        178,488 </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w:t>
            </w:r>
          </w:p>
        </w:tc>
      </w:tr>
      <w:tr w:rsidR="006E700A" w:rsidRPr="006E700A" w:rsidTr="006E700A">
        <w:trPr>
          <w:trHeight w:val="219"/>
        </w:trPr>
        <w:tc>
          <w:tcPr>
            <w:tcW w:w="6797"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Uno a cinco años</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u w:val="single"/>
                <w:lang w:eastAsia="es-CO"/>
              </w:rPr>
            </w:pPr>
            <w:r w:rsidRPr="006E700A">
              <w:rPr>
                <w:rFonts w:ascii="Calibri" w:eastAsia="Times New Roman" w:hAnsi="Calibri" w:cs="Times New Roman"/>
                <w:color w:val="000000"/>
                <w:u w:val="single"/>
                <w:lang w:eastAsia="es-CO"/>
              </w:rPr>
              <w:t xml:space="preserve">           24,800 </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w:t>
            </w:r>
          </w:p>
        </w:tc>
      </w:tr>
      <w:tr w:rsidR="006E700A" w:rsidRPr="006E700A" w:rsidTr="006E700A">
        <w:trPr>
          <w:trHeight w:val="194"/>
        </w:trPr>
        <w:tc>
          <w:tcPr>
            <w:tcW w:w="6797"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b/>
                <w:bCs/>
                <w:color w:val="000000"/>
                <w:lang w:eastAsia="es-CO"/>
              </w:rPr>
            </w:pPr>
            <w:r w:rsidRPr="006E700A">
              <w:rPr>
                <w:rFonts w:ascii="Calibri" w:eastAsia="Times New Roman" w:hAnsi="Calibri" w:cs="Times New Roman"/>
                <w:b/>
                <w:bCs/>
                <w:color w:val="000000"/>
                <w:lang w:eastAsia="es-CO"/>
              </w:rPr>
              <w:t xml:space="preserve">        203,288 </w:t>
            </w:r>
          </w:p>
        </w:tc>
        <w:tc>
          <w:tcPr>
            <w:tcW w:w="1315"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w:t>
            </w:r>
          </w:p>
        </w:tc>
      </w:tr>
    </w:tbl>
    <w:p w:rsidR="00571BAD" w:rsidRDefault="00571BAD" w:rsidP="006F4761">
      <w:pPr>
        <w:pStyle w:val="Default"/>
        <w:jc w:val="both"/>
        <w:rPr>
          <w:sz w:val="22"/>
          <w:szCs w:val="22"/>
        </w:rPr>
      </w:pPr>
    </w:p>
    <w:p w:rsidR="006E700A" w:rsidRDefault="006E700A" w:rsidP="006F4761">
      <w:pPr>
        <w:pStyle w:val="Default"/>
        <w:jc w:val="both"/>
        <w:rPr>
          <w:sz w:val="22"/>
          <w:szCs w:val="22"/>
        </w:rPr>
      </w:pPr>
      <w:r>
        <w:rPr>
          <w:sz w:val="22"/>
          <w:szCs w:val="22"/>
        </w:rPr>
        <w:t xml:space="preserve">Los compromisos incondicionales para aportar a más de un año se reflejan en el valor presente de flujos futuros estimados de efectivo utilizando una tasa de descuento del 6%. </w:t>
      </w:r>
    </w:p>
    <w:p w:rsidR="006E700A" w:rsidRDefault="006E700A" w:rsidP="006F4761">
      <w:pPr>
        <w:pStyle w:val="Default"/>
        <w:jc w:val="both"/>
        <w:rPr>
          <w:sz w:val="22"/>
          <w:szCs w:val="22"/>
        </w:rPr>
      </w:pPr>
    </w:p>
    <w:p w:rsidR="006E700A" w:rsidRDefault="006E700A" w:rsidP="006F4761">
      <w:pPr>
        <w:pStyle w:val="Default"/>
        <w:jc w:val="both"/>
        <w:rPr>
          <w:sz w:val="22"/>
          <w:szCs w:val="22"/>
        </w:rPr>
      </w:pPr>
    </w:p>
    <w:p w:rsidR="00571BAD" w:rsidRDefault="006E700A" w:rsidP="006F4761">
      <w:pPr>
        <w:pStyle w:val="Default"/>
        <w:jc w:val="both"/>
        <w:rPr>
          <w:sz w:val="22"/>
          <w:szCs w:val="22"/>
        </w:rPr>
      </w:pPr>
      <w:r>
        <w:rPr>
          <w:sz w:val="22"/>
          <w:szCs w:val="22"/>
        </w:rPr>
        <w:t>El monto comprometido por el Grupo Económico Nacional es el siguiente:</w:t>
      </w:r>
    </w:p>
    <w:p w:rsidR="00571BAD" w:rsidRDefault="00571BAD" w:rsidP="006F4761">
      <w:pPr>
        <w:pStyle w:val="Default"/>
        <w:jc w:val="both"/>
        <w:rPr>
          <w:sz w:val="22"/>
          <w:szCs w:val="22"/>
        </w:rPr>
      </w:pPr>
    </w:p>
    <w:tbl>
      <w:tblPr>
        <w:tblW w:w="9284" w:type="dxa"/>
        <w:tblInd w:w="-5" w:type="dxa"/>
        <w:tblCellMar>
          <w:left w:w="70" w:type="dxa"/>
          <w:right w:w="70" w:type="dxa"/>
        </w:tblCellMar>
        <w:tblLook w:val="04A0" w:firstRow="1" w:lastRow="0" w:firstColumn="1" w:lastColumn="0" w:noHBand="0" w:noVBand="1"/>
      </w:tblPr>
      <w:tblGrid>
        <w:gridCol w:w="6534"/>
        <w:gridCol w:w="1264"/>
        <w:gridCol w:w="1486"/>
      </w:tblGrid>
      <w:tr w:rsidR="006E700A" w:rsidRPr="006E700A" w:rsidTr="006E700A">
        <w:trPr>
          <w:trHeight w:val="86"/>
        </w:trPr>
        <w:tc>
          <w:tcPr>
            <w:tcW w:w="6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b/>
                <w:bCs/>
                <w:color w:val="000000"/>
                <w:u w:val="single"/>
                <w:lang w:eastAsia="es-CO"/>
              </w:rPr>
            </w:pPr>
            <w:r w:rsidRPr="006E700A">
              <w:rPr>
                <w:rFonts w:ascii="Calibri" w:eastAsia="Times New Roman" w:hAnsi="Calibri" w:cs="Times New Roman"/>
                <w:b/>
                <w:bCs/>
                <w:color w:val="000000"/>
                <w:u w:val="single"/>
                <w:lang w:eastAsia="es-CO"/>
              </w:rPr>
              <w:t xml:space="preserve"> 20x7 </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b/>
                <w:bCs/>
                <w:color w:val="000000"/>
                <w:u w:val="single"/>
                <w:lang w:eastAsia="es-CO"/>
              </w:rPr>
            </w:pPr>
            <w:r w:rsidRPr="006E700A">
              <w:rPr>
                <w:rFonts w:ascii="Calibri" w:eastAsia="Times New Roman" w:hAnsi="Calibri" w:cs="Times New Roman"/>
                <w:b/>
                <w:bCs/>
                <w:color w:val="000000"/>
                <w:u w:val="single"/>
                <w:lang w:eastAsia="es-CO"/>
              </w:rPr>
              <w:t xml:space="preserve"> 20x6 </w:t>
            </w:r>
          </w:p>
        </w:tc>
      </w:tr>
      <w:tr w:rsidR="006E700A" w:rsidRPr="006E700A" w:rsidTr="006E700A">
        <w:trPr>
          <w:trHeight w:val="76"/>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Apropiación para el próximo año</w:t>
            </w:r>
          </w:p>
        </w:tc>
        <w:tc>
          <w:tcPr>
            <w:tcW w:w="1264"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xml:space="preserve">        120,719 </w:t>
            </w:r>
          </w:p>
        </w:tc>
        <w:tc>
          <w:tcPr>
            <w:tcW w:w="1486"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xml:space="preserve">        114,803 </w:t>
            </w:r>
          </w:p>
        </w:tc>
      </w:tr>
      <w:tr w:rsidR="006E700A" w:rsidRPr="006E700A" w:rsidTr="006E700A">
        <w:trPr>
          <w:trHeight w:val="185"/>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Apropiación general</w:t>
            </w:r>
          </w:p>
        </w:tc>
        <w:tc>
          <w:tcPr>
            <w:tcW w:w="1264"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u w:val="single"/>
                <w:lang w:eastAsia="es-CO"/>
              </w:rPr>
            </w:pPr>
            <w:r w:rsidRPr="006E700A">
              <w:rPr>
                <w:rFonts w:ascii="Calibri" w:eastAsia="Times New Roman" w:hAnsi="Calibri" w:cs="Times New Roman"/>
                <w:color w:val="000000"/>
                <w:u w:val="single"/>
                <w:lang w:eastAsia="es-CO"/>
              </w:rPr>
              <w:t xml:space="preserve">35,556 </w:t>
            </w:r>
          </w:p>
        </w:tc>
        <w:tc>
          <w:tcPr>
            <w:tcW w:w="1486"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u w:val="single"/>
                <w:lang w:eastAsia="es-CO"/>
              </w:rPr>
            </w:pPr>
            <w:r w:rsidRPr="006E700A">
              <w:rPr>
                <w:rFonts w:ascii="Calibri" w:eastAsia="Times New Roman" w:hAnsi="Calibri" w:cs="Times New Roman"/>
                <w:color w:val="000000"/>
                <w:u w:val="single"/>
                <w:lang w:eastAsia="es-CO"/>
              </w:rPr>
              <w:t xml:space="preserve">           31,662 </w:t>
            </w:r>
          </w:p>
        </w:tc>
      </w:tr>
      <w:tr w:rsidR="006E700A" w:rsidRPr="006E700A" w:rsidTr="006E700A">
        <w:trPr>
          <w:trHeight w:val="76"/>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Compromisos de donantes</w:t>
            </w:r>
          </w:p>
        </w:tc>
        <w:tc>
          <w:tcPr>
            <w:tcW w:w="1264"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b/>
                <w:bCs/>
                <w:color w:val="000000"/>
                <w:lang w:eastAsia="es-CO"/>
              </w:rPr>
            </w:pPr>
            <w:r w:rsidRPr="006E700A">
              <w:rPr>
                <w:rFonts w:ascii="Calibri" w:eastAsia="Times New Roman" w:hAnsi="Calibri" w:cs="Times New Roman"/>
                <w:b/>
                <w:bCs/>
                <w:color w:val="000000"/>
                <w:lang w:eastAsia="es-CO"/>
              </w:rPr>
              <w:t xml:space="preserve">        156,275 </w:t>
            </w:r>
          </w:p>
        </w:tc>
        <w:tc>
          <w:tcPr>
            <w:tcW w:w="1486"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b/>
                <w:bCs/>
                <w:color w:val="000000"/>
                <w:lang w:eastAsia="es-CO"/>
              </w:rPr>
            </w:pPr>
            <w:r w:rsidRPr="006E700A">
              <w:rPr>
                <w:rFonts w:ascii="Calibri" w:eastAsia="Times New Roman" w:hAnsi="Calibri" w:cs="Times New Roman"/>
                <w:b/>
                <w:bCs/>
                <w:color w:val="000000"/>
                <w:lang w:eastAsia="es-CO"/>
              </w:rPr>
              <w:t xml:space="preserve">        146,465 </w:t>
            </w:r>
          </w:p>
        </w:tc>
      </w:tr>
      <w:tr w:rsidR="006E700A" w:rsidRPr="006E700A" w:rsidTr="006E700A">
        <w:trPr>
          <w:trHeight w:val="76"/>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Recibo parcial de donantes</w:t>
            </w:r>
          </w:p>
        </w:tc>
        <w:tc>
          <w:tcPr>
            <w:tcW w:w="1264"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xml:space="preserve">-           1,337 </w:t>
            </w:r>
          </w:p>
        </w:tc>
        <w:tc>
          <w:tcPr>
            <w:tcW w:w="1486"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xml:space="preserve">-         11,209 </w:t>
            </w:r>
          </w:p>
        </w:tc>
      </w:tr>
      <w:tr w:rsidR="006E700A" w:rsidRPr="006E700A" w:rsidTr="006E700A">
        <w:trPr>
          <w:trHeight w:val="49"/>
        </w:trPr>
        <w:tc>
          <w:tcPr>
            <w:tcW w:w="6534" w:type="dxa"/>
            <w:tcBorders>
              <w:top w:val="nil"/>
              <w:left w:val="single" w:sz="4" w:space="0" w:color="auto"/>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color w:val="000000"/>
                <w:lang w:eastAsia="es-CO"/>
              </w:rPr>
            </w:pPr>
            <w:r w:rsidRPr="006E700A">
              <w:rPr>
                <w:rFonts w:ascii="Calibri" w:eastAsia="Times New Roman" w:hAnsi="Calibri" w:cs="Times New Roman"/>
                <w:color w:val="000000"/>
                <w:lang w:eastAsia="es-CO"/>
              </w:rPr>
              <w:t> </w:t>
            </w:r>
          </w:p>
        </w:tc>
        <w:tc>
          <w:tcPr>
            <w:tcW w:w="1264"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b/>
                <w:bCs/>
                <w:color w:val="000000"/>
                <w:lang w:eastAsia="es-CO"/>
              </w:rPr>
            </w:pPr>
            <w:r w:rsidRPr="006E700A">
              <w:rPr>
                <w:rFonts w:ascii="Calibri" w:eastAsia="Times New Roman" w:hAnsi="Calibri" w:cs="Times New Roman"/>
                <w:b/>
                <w:bCs/>
                <w:color w:val="000000"/>
                <w:lang w:eastAsia="es-CO"/>
              </w:rPr>
              <w:t xml:space="preserve">        154,938 </w:t>
            </w:r>
          </w:p>
        </w:tc>
        <w:tc>
          <w:tcPr>
            <w:tcW w:w="1486" w:type="dxa"/>
            <w:tcBorders>
              <w:top w:val="nil"/>
              <w:left w:val="nil"/>
              <w:bottom w:val="single" w:sz="4" w:space="0" w:color="auto"/>
              <w:right w:val="single" w:sz="4" w:space="0" w:color="auto"/>
            </w:tcBorders>
            <w:shd w:val="clear" w:color="auto" w:fill="auto"/>
            <w:noWrap/>
            <w:vAlign w:val="bottom"/>
            <w:hideMark/>
          </w:tcPr>
          <w:p w:rsidR="006E700A" w:rsidRPr="006E700A" w:rsidRDefault="006E700A" w:rsidP="006F4761">
            <w:pPr>
              <w:spacing w:after="0" w:line="240" w:lineRule="auto"/>
              <w:jc w:val="both"/>
              <w:rPr>
                <w:rFonts w:ascii="Calibri" w:eastAsia="Times New Roman" w:hAnsi="Calibri" w:cs="Times New Roman"/>
                <w:b/>
                <w:bCs/>
                <w:color w:val="000000"/>
                <w:lang w:eastAsia="es-CO"/>
              </w:rPr>
            </w:pPr>
            <w:r w:rsidRPr="006E700A">
              <w:rPr>
                <w:rFonts w:ascii="Calibri" w:eastAsia="Times New Roman" w:hAnsi="Calibri" w:cs="Times New Roman"/>
                <w:b/>
                <w:bCs/>
                <w:color w:val="000000"/>
                <w:lang w:eastAsia="es-CO"/>
              </w:rPr>
              <w:t xml:space="preserve">        135,256 </w:t>
            </w:r>
          </w:p>
        </w:tc>
      </w:tr>
    </w:tbl>
    <w:p w:rsidR="00571BAD" w:rsidRDefault="00571BAD" w:rsidP="006F4761">
      <w:pPr>
        <w:pStyle w:val="Default"/>
        <w:jc w:val="both"/>
        <w:rPr>
          <w:sz w:val="22"/>
          <w:szCs w:val="22"/>
        </w:rPr>
      </w:pPr>
    </w:p>
    <w:p w:rsidR="00571BAD" w:rsidRDefault="00571BAD" w:rsidP="006F4761">
      <w:pPr>
        <w:pStyle w:val="Default"/>
        <w:jc w:val="both"/>
        <w:rPr>
          <w:sz w:val="22"/>
          <w:szCs w:val="22"/>
        </w:rPr>
      </w:pPr>
    </w:p>
    <w:p w:rsidR="00832225" w:rsidRDefault="00832225" w:rsidP="006F4761">
      <w:pPr>
        <w:pStyle w:val="Default"/>
        <w:jc w:val="both"/>
        <w:rPr>
          <w:sz w:val="22"/>
          <w:szCs w:val="22"/>
        </w:rPr>
      </w:pPr>
      <w:r>
        <w:rPr>
          <w:sz w:val="22"/>
          <w:szCs w:val="22"/>
        </w:rPr>
        <w:t xml:space="preserve">Aunque los compromisos de donantes al Grupo Económico Nacional pueden variar, las diferencias entre los montos comprometidos y obtenidos del Grupo han sido históricamente insignificantes. Por consiguiente, no existe provisión para cartera incobrable. Las partidas incobrables de otros compromisos para aportar también se espera que sean insignificantes. </w:t>
      </w:r>
    </w:p>
    <w:p w:rsidR="00832225" w:rsidRDefault="00832225" w:rsidP="006F4761">
      <w:pPr>
        <w:pStyle w:val="Default"/>
        <w:jc w:val="both"/>
        <w:rPr>
          <w:sz w:val="22"/>
          <w:szCs w:val="22"/>
        </w:rPr>
      </w:pPr>
    </w:p>
    <w:p w:rsidR="00832225" w:rsidRDefault="00832225" w:rsidP="006F4761">
      <w:pPr>
        <w:pStyle w:val="Default"/>
        <w:jc w:val="both"/>
        <w:rPr>
          <w:sz w:val="22"/>
          <w:szCs w:val="22"/>
        </w:rPr>
      </w:pPr>
    </w:p>
    <w:p w:rsidR="006E700A" w:rsidRDefault="00832225" w:rsidP="006F4761">
      <w:pPr>
        <w:pStyle w:val="Default"/>
        <w:jc w:val="both"/>
        <w:rPr>
          <w:sz w:val="22"/>
          <w:szCs w:val="22"/>
        </w:rPr>
      </w:pPr>
      <w:r>
        <w:rPr>
          <w:sz w:val="22"/>
          <w:szCs w:val="22"/>
        </w:rPr>
        <w:t>La Organización tenía un compromiso condicional de $14.500 al 31 de diciembre de 20X7, que representa una subvención de una fundación comunitaria sujeta a la obtención de recursos de otras fuentes, los cuales se igualan a la subvención concedida.</w:t>
      </w:r>
    </w:p>
    <w:p w:rsidR="00832225" w:rsidRDefault="00832225" w:rsidP="006F4761">
      <w:pPr>
        <w:pStyle w:val="Default"/>
        <w:jc w:val="both"/>
        <w:rPr>
          <w:sz w:val="22"/>
          <w:szCs w:val="22"/>
        </w:rPr>
      </w:pPr>
    </w:p>
    <w:p w:rsidR="00832225" w:rsidRDefault="00832225" w:rsidP="006F4761">
      <w:pPr>
        <w:pStyle w:val="Default"/>
        <w:jc w:val="both"/>
        <w:rPr>
          <w:sz w:val="22"/>
          <w:szCs w:val="22"/>
        </w:rPr>
      </w:pPr>
    </w:p>
    <w:p w:rsidR="00832225" w:rsidRDefault="00832225" w:rsidP="006F4761">
      <w:pPr>
        <w:pStyle w:val="Default"/>
        <w:jc w:val="both"/>
        <w:rPr>
          <w:sz w:val="22"/>
          <w:szCs w:val="22"/>
        </w:rPr>
      </w:pPr>
    </w:p>
    <w:p w:rsidR="00910EEF" w:rsidRPr="006E700A" w:rsidRDefault="00910EEF" w:rsidP="006F4761">
      <w:pPr>
        <w:pStyle w:val="Default"/>
        <w:jc w:val="both"/>
        <w:rPr>
          <w:b/>
          <w:sz w:val="22"/>
          <w:szCs w:val="22"/>
        </w:rPr>
      </w:pPr>
      <w:r w:rsidRPr="006E700A">
        <w:rPr>
          <w:b/>
          <w:sz w:val="22"/>
          <w:szCs w:val="22"/>
        </w:rPr>
        <w:t xml:space="preserve">NOTA D-INVERSIONES </w:t>
      </w:r>
    </w:p>
    <w:p w:rsidR="006E700A" w:rsidRDefault="006E700A" w:rsidP="006F4761">
      <w:pPr>
        <w:pStyle w:val="Default"/>
        <w:jc w:val="both"/>
        <w:rPr>
          <w:sz w:val="22"/>
          <w:szCs w:val="22"/>
        </w:rPr>
      </w:pPr>
      <w:bookmarkStart w:id="0" w:name="_GoBack"/>
      <w:bookmarkEnd w:id="0"/>
    </w:p>
    <w:p w:rsidR="006E700A" w:rsidRPr="00910EEF" w:rsidRDefault="006E700A" w:rsidP="006F4761">
      <w:pPr>
        <w:pStyle w:val="Default"/>
        <w:jc w:val="both"/>
        <w:rPr>
          <w:sz w:val="22"/>
          <w:szCs w:val="22"/>
        </w:rPr>
      </w:pPr>
    </w:p>
    <w:p w:rsidR="00910EEF" w:rsidRDefault="00910EEF" w:rsidP="006F4761">
      <w:pPr>
        <w:pStyle w:val="Default"/>
        <w:jc w:val="both"/>
        <w:rPr>
          <w:sz w:val="22"/>
          <w:szCs w:val="22"/>
        </w:rPr>
      </w:pPr>
      <w:r w:rsidRPr="00910EEF">
        <w:rPr>
          <w:sz w:val="22"/>
          <w:szCs w:val="22"/>
        </w:rPr>
        <w:t xml:space="preserve">La Organización tenía $62.378 y $24.833 al 31 de diciembre de 20X7 y 20X6, respectivamente, en TES con vencimientos originales de más de tres meses. Las inversiones a corto plazo se valoran al valor razonable. </w:t>
      </w:r>
    </w:p>
    <w:p w:rsidR="00832225" w:rsidRDefault="00832225" w:rsidP="006F4761">
      <w:pPr>
        <w:pStyle w:val="Default"/>
        <w:jc w:val="both"/>
        <w:rPr>
          <w:sz w:val="22"/>
          <w:szCs w:val="22"/>
        </w:rPr>
      </w:pPr>
    </w:p>
    <w:p w:rsidR="00832225" w:rsidRDefault="00832225" w:rsidP="006F4761">
      <w:pPr>
        <w:pStyle w:val="Default"/>
        <w:jc w:val="both"/>
        <w:rPr>
          <w:sz w:val="22"/>
          <w:szCs w:val="22"/>
        </w:rPr>
      </w:pPr>
      <w:r>
        <w:rPr>
          <w:sz w:val="22"/>
          <w:szCs w:val="22"/>
        </w:rPr>
        <w:t>Las inversiones a largo plazo se registran a valor razonable y corresponden a TES. Los valores razonables y la valorización (desvalorización) al 31 de diciembre de 20X7 y 20X6, se resumen como sigue:</w:t>
      </w:r>
    </w:p>
    <w:p w:rsidR="00832225" w:rsidRDefault="00832225" w:rsidP="006F4761">
      <w:pPr>
        <w:pStyle w:val="Default"/>
        <w:jc w:val="both"/>
        <w:rPr>
          <w:sz w:val="22"/>
          <w:szCs w:val="22"/>
        </w:rPr>
      </w:pPr>
    </w:p>
    <w:p w:rsidR="004D0E7A" w:rsidRDefault="004D0E7A" w:rsidP="006F4761">
      <w:pPr>
        <w:pStyle w:val="Default"/>
        <w:jc w:val="both"/>
        <w:rPr>
          <w:sz w:val="22"/>
          <w:szCs w:val="22"/>
        </w:rPr>
      </w:pPr>
    </w:p>
    <w:p w:rsidR="004D0E7A" w:rsidRDefault="004D0E7A" w:rsidP="006F4761">
      <w:pPr>
        <w:pStyle w:val="Default"/>
        <w:jc w:val="both"/>
        <w:rPr>
          <w:sz w:val="22"/>
          <w:szCs w:val="22"/>
        </w:rPr>
      </w:pPr>
    </w:p>
    <w:p w:rsidR="00832225" w:rsidRDefault="00832225" w:rsidP="006F4761">
      <w:pPr>
        <w:pStyle w:val="Default"/>
        <w:jc w:val="both"/>
        <w:rPr>
          <w:sz w:val="22"/>
          <w:szCs w:val="22"/>
        </w:rPr>
      </w:pPr>
    </w:p>
    <w:p w:rsidR="00832225" w:rsidRDefault="00935EA7" w:rsidP="006F4761">
      <w:pPr>
        <w:pStyle w:val="Default"/>
        <w:jc w:val="both"/>
        <w:rPr>
          <w:sz w:val="22"/>
          <w:szCs w:val="22"/>
        </w:rPr>
      </w:pPr>
      <w:r w:rsidRPr="00935EA7">
        <w:rPr>
          <w:noProof/>
        </w:rPr>
        <w:drawing>
          <wp:inline distT="0" distB="0" distL="0" distR="0">
            <wp:extent cx="5612130" cy="1342817"/>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1342817"/>
                    </a:xfrm>
                    <a:prstGeom prst="rect">
                      <a:avLst/>
                    </a:prstGeom>
                    <a:noFill/>
                    <a:ln>
                      <a:noFill/>
                    </a:ln>
                  </pic:spPr>
                </pic:pic>
              </a:graphicData>
            </a:graphic>
          </wp:inline>
        </w:drawing>
      </w:r>
    </w:p>
    <w:p w:rsidR="00935EA7" w:rsidRDefault="00935EA7" w:rsidP="006F4761">
      <w:pPr>
        <w:pStyle w:val="Default"/>
        <w:jc w:val="both"/>
        <w:rPr>
          <w:sz w:val="22"/>
          <w:szCs w:val="22"/>
        </w:rPr>
      </w:pPr>
    </w:p>
    <w:p w:rsidR="00935EA7" w:rsidRDefault="00935EA7" w:rsidP="006F4761">
      <w:pPr>
        <w:pStyle w:val="Default"/>
        <w:jc w:val="both"/>
        <w:rPr>
          <w:sz w:val="22"/>
          <w:szCs w:val="22"/>
        </w:rPr>
      </w:pPr>
      <w:r>
        <w:rPr>
          <w:sz w:val="22"/>
          <w:szCs w:val="22"/>
        </w:rPr>
        <w:t>El siguiente esquema resume el retorno de la inversión y su clasificación en el Estado de Actividades por los años terminados en:</w:t>
      </w:r>
    </w:p>
    <w:p w:rsidR="0025171E" w:rsidRDefault="0025171E" w:rsidP="006F4761">
      <w:pPr>
        <w:pStyle w:val="Default"/>
        <w:jc w:val="both"/>
        <w:rPr>
          <w:sz w:val="22"/>
          <w:szCs w:val="22"/>
        </w:rPr>
      </w:pPr>
    </w:p>
    <w:p w:rsidR="0025171E" w:rsidRDefault="0025171E" w:rsidP="006F4761">
      <w:pPr>
        <w:pStyle w:val="Default"/>
        <w:jc w:val="both"/>
        <w:rPr>
          <w:sz w:val="22"/>
          <w:szCs w:val="22"/>
        </w:rPr>
      </w:pPr>
    </w:p>
    <w:p w:rsidR="0025171E" w:rsidRDefault="0025171E" w:rsidP="006F4761">
      <w:pPr>
        <w:pStyle w:val="Default"/>
        <w:jc w:val="both"/>
        <w:rPr>
          <w:sz w:val="22"/>
          <w:szCs w:val="22"/>
        </w:rPr>
      </w:pPr>
      <w:r w:rsidRPr="0025171E">
        <w:rPr>
          <w:noProof/>
        </w:rPr>
        <w:lastRenderedPageBreak/>
        <w:drawing>
          <wp:inline distT="0" distB="0" distL="0" distR="0">
            <wp:extent cx="5612130" cy="97529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975296"/>
                    </a:xfrm>
                    <a:prstGeom prst="rect">
                      <a:avLst/>
                    </a:prstGeom>
                    <a:noFill/>
                    <a:ln>
                      <a:noFill/>
                    </a:ln>
                  </pic:spPr>
                </pic:pic>
              </a:graphicData>
            </a:graphic>
          </wp:inline>
        </w:drawing>
      </w:r>
    </w:p>
    <w:p w:rsidR="0025171E" w:rsidRDefault="0025171E" w:rsidP="006F4761">
      <w:pPr>
        <w:pStyle w:val="Default"/>
        <w:jc w:val="both"/>
        <w:rPr>
          <w:sz w:val="22"/>
          <w:szCs w:val="22"/>
        </w:rPr>
      </w:pPr>
    </w:p>
    <w:p w:rsidR="00935EA7" w:rsidRDefault="00935EA7" w:rsidP="006F4761">
      <w:pPr>
        <w:pStyle w:val="Default"/>
        <w:jc w:val="both"/>
        <w:rPr>
          <w:sz w:val="22"/>
          <w:szCs w:val="22"/>
        </w:rPr>
      </w:pPr>
    </w:p>
    <w:p w:rsidR="0025171E" w:rsidRPr="0025171E" w:rsidRDefault="0025171E" w:rsidP="006F4761">
      <w:pPr>
        <w:pStyle w:val="Default"/>
        <w:jc w:val="both"/>
        <w:rPr>
          <w:b/>
          <w:sz w:val="22"/>
          <w:szCs w:val="22"/>
        </w:rPr>
      </w:pPr>
      <w:r w:rsidRPr="0025171E">
        <w:rPr>
          <w:b/>
          <w:sz w:val="22"/>
          <w:szCs w:val="22"/>
        </w:rPr>
        <w:t xml:space="preserve">NOTA E — ACUERDO DE FIDEICOMOSO DE CARIDAD </w:t>
      </w:r>
    </w:p>
    <w:p w:rsidR="0025171E" w:rsidRPr="0025171E" w:rsidRDefault="0025171E" w:rsidP="006F4761">
      <w:pPr>
        <w:pStyle w:val="Default"/>
        <w:jc w:val="both"/>
        <w:rPr>
          <w:sz w:val="22"/>
          <w:szCs w:val="22"/>
        </w:rPr>
      </w:pPr>
    </w:p>
    <w:p w:rsidR="0025171E" w:rsidRPr="0025171E" w:rsidRDefault="0025171E" w:rsidP="006F4761">
      <w:pPr>
        <w:pStyle w:val="Default"/>
        <w:jc w:val="both"/>
        <w:rPr>
          <w:sz w:val="22"/>
          <w:szCs w:val="22"/>
        </w:rPr>
      </w:pPr>
    </w:p>
    <w:p w:rsidR="0025171E" w:rsidRPr="0025171E" w:rsidRDefault="0025171E" w:rsidP="006F4761">
      <w:pPr>
        <w:pStyle w:val="Default"/>
        <w:jc w:val="both"/>
        <w:rPr>
          <w:sz w:val="22"/>
          <w:szCs w:val="22"/>
        </w:rPr>
      </w:pPr>
      <w:r w:rsidRPr="0025171E">
        <w:rPr>
          <w:sz w:val="22"/>
          <w:szCs w:val="22"/>
        </w:rPr>
        <w:t xml:space="preserve">Durante 20X6, un donante estableció un fideicomiso con un banco local nombrando la Organización como beneficiario de un fideicomiso de anualidad caritativa. Bajo los términos del acuerdo, la Organización debe recibir $25.000 anuales para su uso sin restricciones hasta la muerte del donante. En el momento de la muerte del donante, se da por terminado el fideicomiso y los activos remanentes se distribuyen a otros. Con base en la esperanza de vida del donante y una tasa de descuento del 6%, el valor actual de los beneficios futuros que esperan ser recibidos por la Organización se estimaron en $230.000, que fueron registrados en 20X6 como una contribución temporalmente restringida y como contribución por cobrar — fideicomiso de caridad. La Organización recibió $25.000 del fideicomiso en 20X7, que fueron registrados como una reducción en la cuenta por cobrar y una correspondiente reclasificación de activos netos temporalmente restringidos a sin restricciones. La Organización también registró la amortización del descuento del valor presente estimado de futuras contribuciones de $1.800 en 20X7. </w:t>
      </w:r>
    </w:p>
    <w:p w:rsidR="0025171E" w:rsidRPr="0025171E" w:rsidRDefault="0025171E" w:rsidP="006F4761">
      <w:pPr>
        <w:pStyle w:val="Default"/>
        <w:jc w:val="both"/>
        <w:rPr>
          <w:sz w:val="22"/>
          <w:szCs w:val="22"/>
        </w:rPr>
      </w:pPr>
    </w:p>
    <w:p w:rsidR="0025171E" w:rsidRPr="0025171E" w:rsidRDefault="0025171E" w:rsidP="006F4761">
      <w:pPr>
        <w:pStyle w:val="Default"/>
        <w:jc w:val="both"/>
        <w:rPr>
          <w:b/>
          <w:sz w:val="22"/>
          <w:szCs w:val="22"/>
        </w:rPr>
      </w:pPr>
    </w:p>
    <w:p w:rsidR="0025171E" w:rsidRPr="0025171E" w:rsidRDefault="0025171E" w:rsidP="006F4761">
      <w:pPr>
        <w:pStyle w:val="Default"/>
        <w:jc w:val="both"/>
        <w:rPr>
          <w:b/>
          <w:sz w:val="22"/>
          <w:szCs w:val="22"/>
        </w:rPr>
      </w:pPr>
      <w:r w:rsidRPr="0025171E">
        <w:rPr>
          <w:b/>
          <w:sz w:val="22"/>
          <w:szCs w:val="22"/>
        </w:rPr>
        <w:t xml:space="preserve">NOTA F – PROPIEDADES Y EQUIPO </w:t>
      </w:r>
    </w:p>
    <w:p w:rsidR="0025171E" w:rsidRPr="0025171E" w:rsidRDefault="0025171E" w:rsidP="006F4761">
      <w:pPr>
        <w:pStyle w:val="Default"/>
        <w:jc w:val="both"/>
        <w:rPr>
          <w:sz w:val="22"/>
          <w:szCs w:val="22"/>
        </w:rPr>
      </w:pPr>
    </w:p>
    <w:p w:rsidR="0025171E" w:rsidRPr="0025171E" w:rsidRDefault="0025171E" w:rsidP="006F4761">
      <w:pPr>
        <w:pStyle w:val="Default"/>
        <w:jc w:val="both"/>
        <w:rPr>
          <w:sz w:val="22"/>
          <w:szCs w:val="22"/>
        </w:rPr>
      </w:pPr>
    </w:p>
    <w:p w:rsidR="00935EA7" w:rsidRDefault="0025171E" w:rsidP="006F4761">
      <w:pPr>
        <w:pStyle w:val="Default"/>
        <w:jc w:val="both"/>
        <w:rPr>
          <w:sz w:val="22"/>
          <w:szCs w:val="22"/>
        </w:rPr>
      </w:pPr>
      <w:r w:rsidRPr="0025171E">
        <w:rPr>
          <w:sz w:val="22"/>
          <w:szCs w:val="22"/>
        </w:rPr>
        <w:t>Las propiedades y equipo consisten en lo siguiente:</w:t>
      </w:r>
    </w:p>
    <w:p w:rsidR="0025171E" w:rsidRDefault="0025171E" w:rsidP="006F4761">
      <w:pPr>
        <w:pStyle w:val="Default"/>
        <w:jc w:val="both"/>
        <w:rPr>
          <w:sz w:val="22"/>
          <w:szCs w:val="22"/>
        </w:rPr>
      </w:pPr>
    </w:p>
    <w:tbl>
      <w:tblPr>
        <w:tblW w:w="8281" w:type="dxa"/>
        <w:tblInd w:w="-5" w:type="dxa"/>
        <w:tblCellMar>
          <w:left w:w="70" w:type="dxa"/>
          <w:right w:w="70" w:type="dxa"/>
        </w:tblCellMar>
        <w:tblLook w:val="04A0" w:firstRow="1" w:lastRow="0" w:firstColumn="1" w:lastColumn="0" w:noHBand="0" w:noVBand="1"/>
      </w:tblPr>
      <w:tblGrid>
        <w:gridCol w:w="5380"/>
        <w:gridCol w:w="1383"/>
        <w:gridCol w:w="1518"/>
      </w:tblGrid>
      <w:tr w:rsidR="0025171E" w:rsidRPr="0025171E" w:rsidTr="0025171E">
        <w:trPr>
          <w:trHeight w:val="276"/>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b/>
                <w:bCs/>
                <w:color w:val="000000"/>
                <w:u w:val="single"/>
                <w:lang w:eastAsia="es-CO"/>
              </w:rPr>
            </w:pPr>
            <w:r w:rsidRPr="0025171E">
              <w:rPr>
                <w:rFonts w:ascii="Calibri" w:eastAsia="Times New Roman" w:hAnsi="Calibri" w:cs="Times New Roman"/>
                <w:b/>
                <w:bCs/>
                <w:color w:val="000000"/>
                <w:u w:val="single"/>
                <w:lang w:eastAsia="es-CO"/>
              </w:rPr>
              <w:t xml:space="preserve"> 20x7 </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b/>
                <w:bCs/>
                <w:color w:val="000000"/>
                <w:u w:val="single"/>
                <w:lang w:eastAsia="es-CO"/>
              </w:rPr>
            </w:pPr>
            <w:r w:rsidRPr="0025171E">
              <w:rPr>
                <w:rFonts w:ascii="Calibri" w:eastAsia="Times New Roman" w:hAnsi="Calibri" w:cs="Times New Roman"/>
                <w:b/>
                <w:bCs/>
                <w:color w:val="000000"/>
                <w:u w:val="single"/>
                <w:lang w:eastAsia="es-CO"/>
              </w:rPr>
              <w:t xml:space="preserve"> 20x6 </w:t>
            </w:r>
          </w:p>
        </w:tc>
      </w:tr>
      <w:tr w:rsidR="0025171E" w:rsidRPr="0025171E" w:rsidTr="0025171E">
        <w:trPr>
          <w:trHeight w:val="245"/>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Terrenos</w:t>
            </w:r>
          </w:p>
        </w:tc>
        <w:tc>
          <w:tcPr>
            <w:tcW w:w="1383"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xml:space="preserve">           65,000 </w:t>
            </w:r>
          </w:p>
        </w:tc>
        <w:tc>
          <w:tcPr>
            <w:tcW w:w="1518"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xml:space="preserve">             65,000 </w:t>
            </w:r>
          </w:p>
        </w:tc>
      </w:tr>
      <w:tr w:rsidR="0025171E" w:rsidRPr="0025171E" w:rsidTr="0025171E">
        <w:trPr>
          <w:trHeight w:val="245"/>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Edificio</w:t>
            </w:r>
          </w:p>
        </w:tc>
        <w:tc>
          <w:tcPr>
            <w:tcW w:w="1383"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xml:space="preserve">        592,177 </w:t>
            </w:r>
          </w:p>
        </w:tc>
        <w:tc>
          <w:tcPr>
            <w:tcW w:w="1518"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xml:space="preserve">           591,335 </w:t>
            </w:r>
          </w:p>
        </w:tc>
      </w:tr>
      <w:tr w:rsidR="0025171E" w:rsidRPr="0025171E" w:rsidTr="0025171E">
        <w:trPr>
          <w:trHeight w:val="245"/>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Construcción en curso del nuevo refugio para hombres</w:t>
            </w:r>
          </w:p>
        </w:tc>
        <w:tc>
          <w:tcPr>
            <w:tcW w:w="1383"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xml:space="preserve">                840 </w:t>
            </w:r>
          </w:p>
        </w:tc>
        <w:tc>
          <w:tcPr>
            <w:tcW w:w="1518"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xml:space="preserve">                      -   </w:t>
            </w:r>
          </w:p>
        </w:tc>
      </w:tr>
      <w:tr w:rsidR="0025171E" w:rsidRPr="0025171E" w:rsidTr="0025171E">
        <w:trPr>
          <w:trHeight w:val="245"/>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Equipo</w:t>
            </w:r>
          </w:p>
        </w:tc>
        <w:tc>
          <w:tcPr>
            <w:tcW w:w="1383"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xml:space="preserve">           20,747 </w:t>
            </w:r>
          </w:p>
        </w:tc>
        <w:tc>
          <w:tcPr>
            <w:tcW w:w="1518"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xml:space="preserve">             14,290 </w:t>
            </w:r>
          </w:p>
        </w:tc>
      </w:tr>
      <w:tr w:rsidR="0025171E" w:rsidRPr="0025171E" w:rsidTr="0025171E">
        <w:trPr>
          <w:trHeight w:val="245"/>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Muebles</w:t>
            </w:r>
          </w:p>
        </w:tc>
        <w:tc>
          <w:tcPr>
            <w:tcW w:w="1383"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xml:space="preserve">           22,247 </w:t>
            </w:r>
          </w:p>
        </w:tc>
        <w:tc>
          <w:tcPr>
            <w:tcW w:w="1518"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xml:space="preserve">             27,555 </w:t>
            </w:r>
          </w:p>
        </w:tc>
      </w:tr>
      <w:tr w:rsidR="0025171E" w:rsidRPr="0025171E" w:rsidTr="0025171E">
        <w:trPr>
          <w:trHeight w:val="245"/>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Mejoras de propiedades en arrendamiento</w:t>
            </w:r>
          </w:p>
        </w:tc>
        <w:tc>
          <w:tcPr>
            <w:tcW w:w="1383"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xml:space="preserve">                   -   </w:t>
            </w:r>
          </w:p>
        </w:tc>
        <w:tc>
          <w:tcPr>
            <w:tcW w:w="1518"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xml:space="preserve">             10,522 </w:t>
            </w:r>
          </w:p>
        </w:tc>
      </w:tr>
      <w:tr w:rsidR="0025171E" w:rsidRPr="0025171E" w:rsidTr="0025171E">
        <w:trPr>
          <w:trHeight w:val="276"/>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Vehículos</w:t>
            </w:r>
          </w:p>
        </w:tc>
        <w:tc>
          <w:tcPr>
            <w:tcW w:w="1383"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u w:val="single"/>
                <w:lang w:eastAsia="es-CO"/>
              </w:rPr>
            </w:pPr>
            <w:r w:rsidRPr="0025171E">
              <w:rPr>
                <w:rFonts w:ascii="Calibri" w:eastAsia="Times New Roman" w:hAnsi="Calibri" w:cs="Times New Roman"/>
                <w:color w:val="000000"/>
                <w:u w:val="single"/>
                <w:lang w:eastAsia="es-CO"/>
              </w:rPr>
              <w:t xml:space="preserve">           20,432 </w:t>
            </w:r>
          </w:p>
        </w:tc>
        <w:tc>
          <w:tcPr>
            <w:tcW w:w="1518"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u w:val="single"/>
                <w:lang w:eastAsia="es-CO"/>
              </w:rPr>
            </w:pPr>
            <w:r w:rsidRPr="0025171E">
              <w:rPr>
                <w:rFonts w:ascii="Calibri" w:eastAsia="Times New Roman" w:hAnsi="Calibri" w:cs="Times New Roman"/>
                <w:color w:val="000000"/>
                <w:u w:val="single"/>
                <w:lang w:eastAsia="es-CO"/>
              </w:rPr>
              <w:t xml:space="preserve">             20,432 </w:t>
            </w:r>
          </w:p>
        </w:tc>
      </w:tr>
      <w:tr w:rsidR="0025171E" w:rsidRPr="0025171E" w:rsidTr="0025171E">
        <w:trPr>
          <w:trHeight w:val="276"/>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b/>
                <w:bCs/>
                <w:color w:val="000000"/>
                <w:u w:val="single"/>
                <w:lang w:eastAsia="es-CO"/>
              </w:rPr>
            </w:pPr>
            <w:r w:rsidRPr="0025171E">
              <w:rPr>
                <w:rFonts w:ascii="Calibri" w:eastAsia="Times New Roman" w:hAnsi="Calibri" w:cs="Times New Roman"/>
                <w:b/>
                <w:bCs/>
                <w:color w:val="000000"/>
                <w:u w:val="single"/>
                <w:lang w:eastAsia="es-CO"/>
              </w:rPr>
              <w:t> </w:t>
            </w:r>
          </w:p>
        </w:tc>
        <w:tc>
          <w:tcPr>
            <w:tcW w:w="1383"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b/>
                <w:bCs/>
                <w:color w:val="000000"/>
                <w:lang w:eastAsia="es-CO"/>
              </w:rPr>
            </w:pPr>
            <w:r w:rsidRPr="0025171E">
              <w:rPr>
                <w:rFonts w:ascii="Calibri" w:eastAsia="Times New Roman" w:hAnsi="Calibri" w:cs="Times New Roman"/>
                <w:b/>
                <w:bCs/>
                <w:color w:val="000000"/>
                <w:lang w:eastAsia="es-CO"/>
              </w:rPr>
              <w:t xml:space="preserve">        721,443 </w:t>
            </w:r>
          </w:p>
        </w:tc>
        <w:tc>
          <w:tcPr>
            <w:tcW w:w="1518"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b/>
                <w:bCs/>
                <w:color w:val="000000"/>
                <w:lang w:eastAsia="es-CO"/>
              </w:rPr>
            </w:pPr>
            <w:r w:rsidRPr="0025171E">
              <w:rPr>
                <w:rFonts w:ascii="Calibri" w:eastAsia="Times New Roman" w:hAnsi="Calibri" w:cs="Times New Roman"/>
                <w:b/>
                <w:bCs/>
                <w:color w:val="000000"/>
                <w:lang w:eastAsia="es-CO"/>
              </w:rPr>
              <w:t xml:space="preserve">           729,134 </w:t>
            </w:r>
          </w:p>
        </w:tc>
      </w:tr>
      <w:tr w:rsidR="0025171E" w:rsidRPr="0025171E" w:rsidTr="0025171E">
        <w:trPr>
          <w:trHeight w:val="276"/>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Depreciación acumulada</w:t>
            </w:r>
          </w:p>
        </w:tc>
        <w:tc>
          <w:tcPr>
            <w:tcW w:w="1383"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u w:val="single"/>
                <w:lang w:eastAsia="es-CO"/>
              </w:rPr>
            </w:pPr>
            <w:r w:rsidRPr="0025171E">
              <w:rPr>
                <w:rFonts w:ascii="Calibri" w:eastAsia="Times New Roman" w:hAnsi="Calibri" w:cs="Times New Roman"/>
                <w:color w:val="000000"/>
                <w:u w:val="single"/>
                <w:lang w:eastAsia="es-CO"/>
              </w:rPr>
              <w:t xml:space="preserve">-         73,033 </w:t>
            </w:r>
          </w:p>
        </w:tc>
        <w:tc>
          <w:tcPr>
            <w:tcW w:w="1518"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u w:val="single"/>
                <w:lang w:eastAsia="es-CO"/>
              </w:rPr>
            </w:pPr>
            <w:r w:rsidRPr="0025171E">
              <w:rPr>
                <w:rFonts w:ascii="Calibri" w:eastAsia="Times New Roman" w:hAnsi="Calibri" w:cs="Times New Roman"/>
                <w:color w:val="000000"/>
                <w:u w:val="single"/>
                <w:lang w:eastAsia="es-CO"/>
              </w:rPr>
              <w:t xml:space="preserve">-            64,792 </w:t>
            </w:r>
          </w:p>
        </w:tc>
      </w:tr>
      <w:tr w:rsidR="0025171E" w:rsidRPr="0025171E" w:rsidTr="0025171E">
        <w:trPr>
          <w:trHeight w:val="245"/>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w:t>
            </w:r>
          </w:p>
        </w:tc>
        <w:tc>
          <w:tcPr>
            <w:tcW w:w="1383"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b/>
                <w:bCs/>
                <w:color w:val="000000"/>
                <w:lang w:eastAsia="es-CO"/>
              </w:rPr>
            </w:pPr>
            <w:r w:rsidRPr="0025171E">
              <w:rPr>
                <w:rFonts w:ascii="Calibri" w:eastAsia="Times New Roman" w:hAnsi="Calibri" w:cs="Times New Roman"/>
                <w:b/>
                <w:bCs/>
                <w:color w:val="000000"/>
                <w:lang w:eastAsia="es-CO"/>
              </w:rPr>
              <w:t xml:space="preserve">        648,410 </w:t>
            </w:r>
          </w:p>
        </w:tc>
        <w:tc>
          <w:tcPr>
            <w:tcW w:w="1518"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b/>
                <w:bCs/>
                <w:color w:val="000000"/>
                <w:lang w:eastAsia="es-CO"/>
              </w:rPr>
            </w:pPr>
            <w:r w:rsidRPr="0025171E">
              <w:rPr>
                <w:rFonts w:ascii="Calibri" w:eastAsia="Times New Roman" w:hAnsi="Calibri" w:cs="Times New Roman"/>
                <w:b/>
                <w:bCs/>
                <w:color w:val="000000"/>
                <w:lang w:eastAsia="es-CO"/>
              </w:rPr>
              <w:t xml:space="preserve">           664,342 </w:t>
            </w:r>
          </w:p>
        </w:tc>
      </w:tr>
    </w:tbl>
    <w:p w:rsidR="0025171E" w:rsidRPr="0025171E" w:rsidRDefault="0025171E" w:rsidP="006F4761">
      <w:pPr>
        <w:pStyle w:val="Default"/>
        <w:jc w:val="both"/>
        <w:rPr>
          <w:sz w:val="22"/>
          <w:szCs w:val="22"/>
        </w:rPr>
      </w:pPr>
    </w:p>
    <w:p w:rsidR="00910EEF" w:rsidRDefault="00910EEF" w:rsidP="006F4761">
      <w:pPr>
        <w:jc w:val="both"/>
        <w:rPr>
          <w:rFonts w:ascii="Arial" w:hAnsi="Arial" w:cs="Arial"/>
        </w:rPr>
      </w:pPr>
    </w:p>
    <w:p w:rsidR="0025171E" w:rsidRPr="0025171E" w:rsidRDefault="0025171E" w:rsidP="006F4761">
      <w:pPr>
        <w:pStyle w:val="Default"/>
        <w:jc w:val="both"/>
        <w:rPr>
          <w:b/>
          <w:sz w:val="22"/>
          <w:szCs w:val="22"/>
        </w:rPr>
      </w:pPr>
      <w:r w:rsidRPr="0025171E">
        <w:rPr>
          <w:b/>
          <w:sz w:val="22"/>
          <w:szCs w:val="22"/>
        </w:rPr>
        <w:t xml:space="preserve">NOTA G — DEUDA A LARGO PLAZO </w:t>
      </w:r>
    </w:p>
    <w:p w:rsidR="0025171E" w:rsidRDefault="0025171E" w:rsidP="006F4761">
      <w:pPr>
        <w:jc w:val="both"/>
      </w:pPr>
      <w:r>
        <w:t>El pasivo a largo plazo de la Organización consiste en lo siguiente:</w:t>
      </w:r>
    </w:p>
    <w:p w:rsidR="0025171E" w:rsidRDefault="0025171E" w:rsidP="006F4761">
      <w:pPr>
        <w:jc w:val="both"/>
        <w:rPr>
          <w:rFonts w:ascii="Arial" w:hAnsi="Arial" w:cs="Arial"/>
        </w:rPr>
      </w:pPr>
    </w:p>
    <w:tbl>
      <w:tblPr>
        <w:tblW w:w="8607" w:type="dxa"/>
        <w:tblInd w:w="-5" w:type="dxa"/>
        <w:tblCellMar>
          <w:left w:w="70" w:type="dxa"/>
          <w:right w:w="70" w:type="dxa"/>
        </w:tblCellMar>
        <w:tblLook w:val="04A0" w:firstRow="1" w:lastRow="0" w:firstColumn="1" w:lastColumn="0" w:noHBand="0" w:noVBand="1"/>
      </w:tblPr>
      <w:tblGrid>
        <w:gridCol w:w="5592"/>
        <w:gridCol w:w="1438"/>
        <w:gridCol w:w="1577"/>
      </w:tblGrid>
      <w:tr w:rsidR="0025171E" w:rsidRPr="0025171E" w:rsidTr="0025171E">
        <w:trPr>
          <w:trHeight w:val="246"/>
        </w:trPr>
        <w:tc>
          <w:tcPr>
            <w:tcW w:w="5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lastRenderedPageBreak/>
              <w:t> </w:t>
            </w:r>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b/>
                <w:bCs/>
                <w:color w:val="000000"/>
                <w:u w:val="single"/>
                <w:lang w:eastAsia="es-CO"/>
              </w:rPr>
            </w:pPr>
            <w:r w:rsidRPr="0025171E">
              <w:rPr>
                <w:rFonts w:ascii="Calibri" w:eastAsia="Times New Roman" w:hAnsi="Calibri" w:cs="Times New Roman"/>
                <w:b/>
                <w:bCs/>
                <w:color w:val="000000"/>
                <w:u w:val="single"/>
                <w:lang w:eastAsia="es-CO"/>
              </w:rPr>
              <w:t xml:space="preserve"> 20x7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b/>
                <w:bCs/>
                <w:color w:val="000000"/>
                <w:u w:val="single"/>
                <w:lang w:eastAsia="es-CO"/>
              </w:rPr>
            </w:pPr>
            <w:r w:rsidRPr="0025171E">
              <w:rPr>
                <w:rFonts w:ascii="Calibri" w:eastAsia="Times New Roman" w:hAnsi="Calibri" w:cs="Times New Roman"/>
                <w:b/>
                <w:bCs/>
                <w:color w:val="000000"/>
                <w:u w:val="single"/>
                <w:lang w:eastAsia="es-CO"/>
              </w:rPr>
              <w:t xml:space="preserve"> 20x6 </w:t>
            </w:r>
          </w:p>
        </w:tc>
      </w:tr>
      <w:tr w:rsidR="0025171E" w:rsidRPr="0025171E" w:rsidTr="0025171E">
        <w:trPr>
          <w:trHeight w:val="657"/>
        </w:trPr>
        <w:tc>
          <w:tcPr>
            <w:tcW w:w="5592" w:type="dxa"/>
            <w:tcBorders>
              <w:top w:val="nil"/>
              <w:left w:val="single" w:sz="4" w:space="0" w:color="auto"/>
              <w:bottom w:val="single" w:sz="4" w:space="0" w:color="auto"/>
              <w:right w:val="single" w:sz="4" w:space="0" w:color="auto"/>
            </w:tcBorders>
            <w:shd w:val="clear" w:color="auto" w:fill="auto"/>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Préstamo sin intereses pagadero al Banco Central Colombiano, en cuotas mensuales de $1.146, garantizado por terrenos y edificios</w:t>
            </w:r>
          </w:p>
        </w:tc>
        <w:tc>
          <w:tcPr>
            <w:tcW w:w="1438"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xml:space="preserve">           75,616 </w:t>
            </w:r>
          </w:p>
        </w:tc>
        <w:tc>
          <w:tcPr>
            <w:tcW w:w="1577"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xml:space="preserve">             85,930 </w:t>
            </w:r>
          </w:p>
        </w:tc>
      </w:tr>
      <w:tr w:rsidR="0025171E" w:rsidRPr="0025171E" w:rsidTr="0025171E">
        <w:trPr>
          <w:trHeight w:val="685"/>
        </w:trPr>
        <w:tc>
          <w:tcPr>
            <w:tcW w:w="5592" w:type="dxa"/>
            <w:tcBorders>
              <w:top w:val="nil"/>
              <w:left w:val="single" w:sz="4" w:space="0" w:color="auto"/>
              <w:bottom w:val="single" w:sz="4" w:space="0" w:color="auto"/>
              <w:right w:val="single" w:sz="4" w:space="0" w:color="auto"/>
            </w:tcBorders>
            <w:shd w:val="clear" w:color="auto" w:fill="auto"/>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Cuenta por pagar al Banco Nuevo, pagadero en cuotas mensuales de $109, más intereses a una tasa anual de DTF + 1.5%, garantizados con la copiadora</w:t>
            </w:r>
          </w:p>
        </w:tc>
        <w:tc>
          <w:tcPr>
            <w:tcW w:w="1438"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u w:val="single"/>
                <w:lang w:eastAsia="es-CO"/>
              </w:rPr>
            </w:pPr>
            <w:r w:rsidRPr="0025171E">
              <w:rPr>
                <w:rFonts w:ascii="Calibri" w:eastAsia="Times New Roman" w:hAnsi="Calibri" w:cs="Times New Roman"/>
                <w:color w:val="000000"/>
                <w:u w:val="single"/>
                <w:lang w:eastAsia="es-CO"/>
              </w:rPr>
              <w:t xml:space="preserve">             4,375 </w:t>
            </w:r>
          </w:p>
        </w:tc>
        <w:tc>
          <w:tcPr>
            <w:tcW w:w="1577"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u w:val="single"/>
                <w:lang w:eastAsia="es-CO"/>
              </w:rPr>
            </w:pPr>
            <w:r w:rsidRPr="0025171E">
              <w:rPr>
                <w:rFonts w:ascii="Calibri" w:eastAsia="Times New Roman" w:hAnsi="Calibri" w:cs="Times New Roman"/>
                <w:color w:val="000000"/>
                <w:u w:val="single"/>
                <w:lang w:eastAsia="es-CO"/>
              </w:rPr>
              <w:t xml:space="preserve">                      -   </w:t>
            </w:r>
          </w:p>
        </w:tc>
      </w:tr>
      <w:tr w:rsidR="0025171E" w:rsidRPr="0025171E" w:rsidTr="0025171E">
        <w:trPr>
          <w:trHeight w:val="219"/>
        </w:trPr>
        <w:tc>
          <w:tcPr>
            <w:tcW w:w="5592" w:type="dxa"/>
            <w:tcBorders>
              <w:top w:val="nil"/>
              <w:left w:val="single" w:sz="4" w:space="0" w:color="auto"/>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color w:val="000000"/>
                <w:lang w:eastAsia="es-CO"/>
              </w:rPr>
            </w:pPr>
            <w:r w:rsidRPr="0025171E">
              <w:rPr>
                <w:rFonts w:ascii="Calibri" w:eastAsia="Times New Roman" w:hAnsi="Calibri" w:cs="Times New Roman"/>
                <w:color w:val="000000"/>
                <w:lang w:eastAsia="es-CO"/>
              </w:rPr>
              <w:t> </w:t>
            </w:r>
          </w:p>
        </w:tc>
        <w:tc>
          <w:tcPr>
            <w:tcW w:w="1438"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b/>
                <w:bCs/>
                <w:color w:val="000000"/>
                <w:lang w:eastAsia="es-CO"/>
              </w:rPr>
            </w:pPr>
            <w:r w:rsidRPr="0025171E">
              <w:rPr>
                <w:rFonts w:ascii="Calibri" w:eastAsia="Times New Roman" w:hAnsi="Calibri" w:cs="Times New Roman"/>
                <w:b/>
                <w:bCs/>
                <w:color w:val="000000"/>
                <w:lang w:eastAsia="es-CO"/>
              </w:rPr>
              <w:t xml:space="preserve">          79,991 </w:t>
            </w:r>
          </w:p>
        </w:tc>
        <w:tc>
          <w:tcPr>
            <w:tcW w:w="1577" w:type="dxa"/>
            <w:tcBorders>
              <w:top w:val="nil"/>
              <w:left w:val="nil"/>
              <w:bottom w:val="single" w:sz="4" w:space="0" w:color="auto"/>
              <w:right w:val="single" w:sz="4" w:space="0" w:color="auto"/>
            </w:tcBorders>
            <w:shd w:val="clear" w:color="auto" w:fill="auto"/>
            <w:noWrap/>
            <w:vAlign w:val="bottom"/>
            <w:hideMark/>
          </w:tcPr>
          <w:p w:rsidR="0025171E" w:rsidRPr="0025171E" w:rsidRDefault="0025171E" w:rsidP="006F4761">
            <w:pPr>
              <w:spacing w:after="0" w:line="240" w:lineRule="auto"/>
              <w:jc w:val="both"/>
              <w:rPr>
                <w:rFonts w:ascii="Calibri" w:eastAsia="Times New Roman" w:hAnsi="Calibri" w:cs="Times New Roman"/>
                <w:b/>
                <w:bCs/>
                <w:color w:val="000000"/>
                <w:lang w:eastAsia="es-CO"/>
              </w:rPr>
            </w:pPr>
            <w:r w:rsidRPr="0025171E">
              <w:rPr>
                <w:rFonts w:ascii="Calibri" w:eastAsia="Times New Roman" w:hAnsi="Calibri" w:cs="Times New Roman"/>
                <w:b/>
                <w:bCs/>
                <w:color w:val="000000"/>
                <w:lang w:eastAsia="es-CO"/>
              </w:rPr>
              <w:t xml:space="preserve">             85,930 </w:t>
            </w:r>
          </w:p>
        </w:tc>
      </w:tr>
    </w:tbl>
    <w:p w:rsidR="0025171E" w:rsidRDefault="0025171E" w:rsidP="006F4761">
      <w:pPr>
        <w:jc w:val="both"/>
        <w:rPr>
          <w:rFonts w:ascii="Arial" w:hAnsi="Arial" w:cs="Arial"/>
        </w:rPr>
      </w:pPr>
    </w:p>
    <w:p w:rsidR="0025171E" w:rsidRDefault="0025171E" w:rsidP="006F4761">
      <w:pPr>
        <w:pStyle w:val="Default"/>
        <w:jc w:val="both"/>
        <w:rPr>
          <w:sz w:val="22"/>
          <w:szCs w:val="22"/>
        </w:rPr>
      </w:pPr>
      <w:r w:rsidRPr="007F01D4">
        <w:rPr>
          <w:sz w:val="22"/>
          <w:szCs w:val="22"/>
        </w:rPr>
        <w:t xml:space="preserve">Los vencimientos programados de la deuda a largo plazo son los siguientes: </w:t>
      </w:r>
    </w:p>
    <w:p w:rsidR="007F01D4" w:rsidRDefault="007F01D4" w:rsidP="006F4761">
      <w:pPr>
        <w:pStyle w:val="Default"/>
        <w:jc w:val="both"/>
        <w:rPr>
          <w:sz w:val="22"/>
          <w:szCs w:val="22"/>
        </w:rPr>
      </w:pPr>
    </w:p>
    <w:p w:rsidR="007F01D4" w:rsidRPr="007F01D4" w:rsidRDefault="007F01D4" w:rsidP="006F4761">
      <w:pPr>
        <w:pStyle w:val="Default"/>
        <w:jc w:val="both"/>
        <w:rPr>
          <w:sz w:val="22"/>
          <w:szCs w:val="22"/>
        </w:rPr>
      </w:pPr>
    </w:p>
    <w:p w:rsidR="0025171E" w:rsidRDefault="0025171E" w:rsidP="006F4761">
      <w:pPr>
        <w:jc w:val="both"/>
        <w:rPr>
          <w:rFonts w:ascii="Arial" w:hAnsi="Arial" w:cs="Arial"/>
        </w:rPr>
      </w:pPr>
      <w:r w:rsidRPr="007F01D4">
        <w:rPr>
          <w:rFonts w:ascii="Arial" w:hAnsi="Arial" w:cs="Arial"/>
        </w:rPr>
        <w:t>Años terminados el 31 de diciembre:</w:t>
      </w:r>
    </w:p>
    <w:p w:rsidR="007F01D4" w:rsidRDefault="007F01D4" w:rsidP="006F4761">
      <w:pPr>
        <w:jc w:val="both"/>
        <w:rPr>
          <w:rFonts w:ascii="Arial" w:hAnsi="Arial" w:cs="Arial"/>
        </w:rPr>
      </w:pPr>
    </w:p>
    <w:tbl>
      <w:tblPr>
        <w:tblW w:w="5487" w:type="dxa"/>
        <w:tblInd w:w="-5" w:type="dxa"/>
        <w:tblCellMar>
          <w:left w:w="70" w:type="dxa"/>
          <w:right w:w="70" w:type="dxa"/>
        </w:tblCellMar>
        <w:tblLook w:val="04A0" w:firstRow="1" w:lastRow="0" w:firstColumn="1" w:lastColumn="0" w:noHBand="0" w:noVBand="1"/>
      </w:tblPr>
      <w:tblGrid>
        <w:gridCol w:w="3016"/>
        <w:gridCol w:w="2471"/>
      </w:tblGrid>
      <w:tr w:rsidR="007F01D4" w:rsidRPr="007F01D4" w:rsidTr="007F01D4">
        <w:trPr>
          <w:trHeight w:val="195"/>
        </w:trPr>
        <w:tc>
          <w:tcPr>
            <w:tcW w:w="3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xml:space="preserve">20X8 </w:t>
            </w:r>
          </w:p>
        </w:tc>
        <w:tc>
          <w:tcPr>
            <w:tcW w:w="2471" w:type="dxa"/>
            <w:tcBorders>
              <w:top w:val="single" w:sz="4" w:space="0" w:color="auto"/>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xml:space="preserve">             15,060 </w:t>
            </w:r>
          </w:p>
        </w:tc>
      </w:tr>
      <w:tr w:rsidR="007F01D4" w:rsidRPr="007F01D4" w:rsidTr="007F01D4">
        <w:trPr>
          <w:trHeight w:val="195"/>
        </w:trPr>
        <w:tc>
          <w:tcPr>
            <w:tcW w:w="3016" w:type="dxa"/>
            <w:tcBorders>
              <w:top w:val="nil"/>
              <w:left w:val="single" w:sz="4" w:space="0" w:color="auto"/>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xml:space="preserve"> 20X9 </w:t>
            </w:r>
          </w:p>
        </w:tc>
        <w:tc>
          <w:tcPr>
            <w:tcW w:w="2471" w:type="dxa"/>
            <w:tcBorders>
              <w:top w:val="nil"/>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xml:space="preserve">             15,060 </w:t>
            </w:r>
          </w:p>
        </w:tc>
      </w:tr>
      <w:tr w:rsidR="007F01D4" w:rsidRPr="007F01D4" w:rsidTr="007F01D4">
        <w:trPr>
          <w:trHeight w:val="195"/>
        </w:trPr>
        <w:tc>
          <w:tcPr>
            <w:tcW w:w="3016" w:type="dxa"/>
            <w:tcBorders>
              <w:top w:val="nil"/>
              <w:left w:val="single" w:sz="4" w:space="0" w:color="auto"/>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xml:space="preserve"> 20Y0 </w:t>
            </w:r>
          </w:p>
        </w:tc>
        <w:tc>
          <w:tcPr>
            <w:tcW w:w="2471" w:type="dxa"/>
            <w:tcBorders>
              <w:top w:val="nil"/>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xml:space="preserve">             15,060 </w:t>
            </w:r>
          </w:p>
        </w:tc>
      </w:tr>
      <w:tr w:rsidR="007F01D4" w:rsidRPr="007F01D4" w:rsidTr="007F01D4">
        <w:trPr>
          <w:trHeight w:val="195"/>
        </w:trPr>
        <w:tc>
          <w:tcPr>
            <w:tcW w:w="3016" w:type="dxa"/>
            <w:tcBorders>
              <w:top w:val="nil"/>
              <w:left w:val="single" w:sz="4" w:space="0" w:color="auto"/>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xml:space="preserve"> 20Y1 </w:t>
            </w:r>
          </w:p>
        </w:tc>
        <w:tc>
          <w:tcPr>
            <w:tcW w:w="2471" w:type="dxa"/>
            <w:tcBorders>
              <w:top w:val="nil"/>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xml:space="preserve">             14,203 </w:t>
            </w:r>
          </w:p>
        </w:tc>
      </w:tr>
      <w:tr w:rsidR="007F01D4" w:rsidRPr="007F01D4" w:rsidTr="007F01D4">
        <w:trPr>
          <w:trHeight w:val="195"/>
        </w:trPr>
        <w:tc>
          <w:tcPr>
            <w:tcW w:w="3016" w:type="dxa"/>
            <w:tcBorders>
              <w:top w:val="nil"/>
              <w:left w:val="single" w:sz="4" w:space="0" w:color="auto"/>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xml:space="preserve"> 20Y2 </w:t>
            </w:r>
          </w:p>
        </w:tc>
        <w:tc>
          <w:tcPr>
            <w:tcW w:w="2471" w:type="dxa"/>
            <w:tcBorders>
              <w:top w:val="nil"/>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xml:space="preserve">             13,752 </w:t>
            </w:r>
          </w:p>
        </w:tc>
      </w:tr>
      <w:tr w:rsidR="007F01D4" w:rsidRPr="007F01D4" w:rsidTr="007F01D4">
        <w:trPr>
          <w:trHeight w:val="219"/>
        </w:trPr>
        <w:tc>
          <w:tcPr>
            <w:tcW w:w="3016" w:type="dxa"/>
            <w:tcBorders>
              <w:top w:val="nil"/>
              <w:left w:val="single" w:sz="4" w:space="0" w:color="auto"/>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xml:space="preserve"> Años posteriores </w:t>
            </w:r>
          </w:p>
        </w:tc>
        <w:tc>
          <w:tcPr>
            <w:tcW w:w="2471" w:type="dxa"/>
            <w:tcBorders>
              <w:top w:val="nil"/>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u w:val="single"/>
                <w:lang w:eastAsia="es-CO"/>
              </w:rPr>
            </w:pPr>
            <w:r w:rsidRPr="007F01D4">
              <w:rPr>
                <w:rFonts w:ascii="Calibri" w:eastAsia="Times New Roman" w:hAnsi="Calibri" w:cs="Times New Roman"/>
                <w:color w:val="000000"/>
                <w:u w:val="single"/>
                <w:lang w:eastAsia="es-CO"/>
              </w:rPr>
              <w:t xml:space="preserve">               6,856 </w:t>
            </w:r>
          </w:p>
        </w:tc>
      </w:tr>
      <w:tr w:rsidR="007F01D4" w:rsidRPr="007F01D4" w:rsidTr="007F01D4">
        <w:trPr>
          <w:trHeight w:val="195"/>
        </w:trPr>
        <w:tc>
          <w:tcPr>
            <w:tcW w:w="3016" w:type="dxa"/>
            <w:tcBorders>
              <w:top w:val="nil"/>
              <w:left w:val="single" w:sz="4" w:space="0" w:color="auto"/>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w:t>
            </w:r>
          </w:p>
        </w:tc>
        <w:tc>
          <w:tcPr>
            <w:tcW w:w="2471" w:type="dxa"/>
            <w:tcBorders>
              <w:top w:val="nil"/>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b/>
                <w:bCs/>
                <w:color w:val="000000"/>
                <w:lang w:eastAsia="es-CO"/>
              </w:rPr>
            </w:pPr>
            <w:r w:rsidRPr="007F01D4">
              <w:rPr>
                <w:rFonts w:ascii="Calibri" w:eastAsia="Times New Roman" w:hAnsi="Calibri" w:cs="Times New Roman"/>
                <w:b/>
                <w:bCs/>
                <w:color w:val="000000"/>
                <w:lang w:eastAsia="es-CO"/>
              </w:rPr>
              <w:t xml:space="preserve">             79,991 </w:t>
            </w:r>
          </w:p>
        </w:tc>
      </w:tr>
    </w:tbl>
    <w:p w:rsidR="007F01D4" w:rsidRDefault="007F01D4" w:rsidP="006F4761">
      <w:pPr>
        <w:jc w:val="both"/>
        <w:rPr>
          <w:rFonts w:ascii="Arial" w:hAnsi="Arial" w:cs="Arial"/>
        </w:rPr>
      </w:pPr>
    </w:p>
    <w:p w:rsidR="007F01D4" w:rsidRPr="007F01D4" w:rsidRDefault="007F01D4" w:rsidP="006F4761">
      <w:pPr>
        <w:pStyle w:val="Default"/>
        <w:jc w:val="both"/>
        <w:rPr>
          <w:b/>
          <w:sz w:val="22"/>
          <w:szCs w:val="22"/>
        </w:rPr>
      </w:pPr>
      <w:r w:rsidRPr="007F01D4">
        <w:rPr>
          <w:b/>
          <w:sz w:val="22"/>
          <w:szCs w:val="22"/>
        </w:rPr>
        <w:t xml:space="preserve">NOTA H: ASISTENCIA FINANCIERA DISTRITAL </w:t>
      </w:r>
    </w:p>
    <w:p w:rsidR="007F01D4" w:rsidRDefault="007F01D4" w:rsidP="006F4761">
      <w:pPr>
        <w:pStyle w:val="Default"/>
        <w:jc w:val="both"/>
        <w:rPr>
          <w:sz w:val="22"/>
          <w:szCs w:val="22"/>
        </w:rPr>
      </w:pPr>
    </w:p>
    <w:p w:rsidR="007F01D4" w:rsidRDefault="007F01D4" w:rsidP="006F4761">
      <w:pPr>
        <w:pStyle w:val="Default"/>
        <w:jc w:val="both"/>
        <w:rPr>
          <w:sz w:val="22"/>
          <w:szCs w:val="22"/>
        </w:rPr>
      </w:pPr>
    </w:p>
    <w:p w:rsidR="007F01D4" w:rsidRDefault="007F01D4" w:rsidP="006F4761">
      <w:pPr>
        <w:jc w:val="both"/>
      </w:pPr>
      <w:r>
        <w:t>La Organización ha recibido una subvención de la Secretaría de Salud del Distrito Capital para proporcionar servicios de asesoría a los residentes. La subvención se considera una transacción de intercambio. En consecuencia, los ingresos se reconocen cuando se devengan y los gastos se reconocen cuando se incurren. La actividad de la subvención para los años que finalizan el 31 de diciembre de 20X7 y 20X6 fue la siguiente:</w:t>
      </w:r>
    </w:p>
    <w:p w:rsidR="007F01D4" w:rsidRDefault="007F01D4" w:rsidP="006F4761">
      <w:pPr>
        <w:jc w:val="both"/>
        <w:rPr>
          <w:rFonts w:ascii="Arial" w:hAnsi="Arial" w:cs="Arial"/>
        </w:rPr>
      </w:pPr>
    </w:p>
    <w:tbl>
      <w:tblPr>
        <w:tblW w:w="8210" w:type="dxa"/>
        <w:tblInd w:w="-5" w:type="dxa"/>
        <w:tblCellMar>
          <w:left w:w="70" w:type="dxa"/>
          <w:right w:w="70" w:type="dxa"/>
        </w:tblCellMar>
        <w:tblLook w:val="04A0" w:firstRow="1" w:lastRow="0" w:firstColumn="1" w:lastColumn="0" w:noHBand="0" w:noVBand="1"/>
      </w:tblPr>
      <w:tblGrid>
        <w:gridCol w:w="5048"/>
        <w:gridCol w:w="1738"/>
        <w:gridCol w:w="1424"/>
      </w:tblGrid>
      <w:tr w:rsidR="007F01D4" w:rsidRPr="007F01D4" w:rsidTr="007F01D4">
        <w:trPr>
          <w:trHeight w:val="188"/>
        </w:trPr>
        <w:tc>
          <w:tcPr>
            <w:tcW w:w="5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w:t>
            </w:r>
          </w:p>
        </w:tc>
        <w:tc>
          <w:tcPr>
            <w:tcW w:w="1738" w:type="dxa"/>
            <w:tcBorders>
              <w:top w:val="single" w:sz="4" w:space="0" w:color="auto"/>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b/>
                <w:bCs/>
                <w:color w:val="000000"/>
                <w:u w:val="single"/>
                <w:lang w:eastAsia="es-CO"/>
              </w:rPr>
            </w:pPr>
            <w:r w:rsidRPr="007F01D4">
              <w:rPr>
                <w:rFonts w:ascii="Calibri" w:eastAsia="Times New Roman" w:hAnsi="Calibri" w:cs="Times New Roman"/>
                <w:b/>
                <w:bCs/>
                <w:color w:val="000000"/>
                <w:u w:val="single"/>
                <w:lang w:eastAsia="es-CO"/>
              </w:rPr>
              <w:t xml:space="preserve"> 20x7 </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b/>
                <w:bCs/>
                <w:color w:val="000000"/>
                <w:u w:val="single"/>
                <w:lang w:eastAsia="es-CO"/>
              </w:rPr>
            </w:pPr>
            <w:r w:rsidRPr="007F01D4">
              <w:rPr>
                <w:rFonts w:ascii="Calibri" w:eastAsia="Times New Roman" w:hAnsi="Calibri" w:cs="Times New Roman"/>
                <w:b/>
                <w:bCs/>
                <w:color w:val="000000"/>
                <w:u w:val="single"/>
                <w:lang w:eastAsia="es-CO"/>
              </w:rPr>
              <w:t xml:space="preserve"> 20x6 </w:t>
            </w:r>
          </w:p>
        </w:tc>
      </w:tr>
      <w:tr w:rsidR="007F01D4" w:rsidRPr="007F01D4" w:rsidTr="007F01D4">
        <w:trPr>
          <w:trHeight w:val="167"/>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Anticipos reembolsables, comienzo del año</w:t>
            </w:r>
          </w:p>
        </w:tc>
        <w:tc>
          <w:tcPr>
            <w:tcW w:w="1738" w:type="dxa"/>
            <w:tcBorders>
              <w:top w:val="nil"/>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xml:space="preserve">                            -   </w:t>
            </w:r>
          </w:p>
        </w:tc>
        <w:tc>
          <w:tcPr>
            <w:tcW w:w="1424" w:type="dxa"/>
            <w:tcBorders>
              <w:top w:val="nil"/>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xml:space="preserve">                      -   </w:t>
            </w:r>
          </w:p>
        </w:tc>
      </w:tr>
      <w:tr w:rsidR="007F01D4" w:rsidRPr="007F01D4" w:rsidTr="007F01D4">
        <w:trPr>
          <w:trHeight w:val="167"/>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Anticipos recibidos durante el año</w:t>
            </w:r>
          </w:p>
        </w:tc>
        <w:tc>
          <w:tcPr>
            <w:tcW w:w="1738" w:type="dxa"/>
            <w:tcBorders>
              <w:top w:val="nil"/>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xml:space="preserve">                   45,605 </w:t>
            </w:r>
          </w:p>
        </w:tc>
        <w:tc>
          <w:tcPr>
            <w:tcW w:w="1424" w:type="dxa"/>
            <w:tcBorders>
              <w:top w:val="nil"/>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 xml:space="preserve">             38,547 </w:t>
            </w:r>
          </w:p>
        </w:tc>
      </w:tr>
      <w:tr w:rsidR="007F01D4" w:rsidRPr="007F01D4" w:rsidTr="007F01D4">
        <w:trPr>
          <w:trHeight w:val="188"/>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Gastos de la subvención</w:t>
            </w:r>
          </w:p>
        </w:tc>
        <w:tc>
          <w:tcPr>
            <w:tcW w:w="1738" w:type="dxa"/>
            <w:tcBorders>
              <w:top w:val="nil"/>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u w:val="single"/>
                <w:lang w:eastAsia="es-CO"/>
              </w:rPr>
            </w:pPr>
            <w:r w:rsidRPr="007F01D4">
              <w:rPr>
                <w:rFonts w:ascii="Calibri" w:eastAsia="Times New Roman" w:hAnsi="Calibri" w:cs="Times New Roman"/>
                <w:color w:val="000000"/>
                <w:u w:val="single"/>
                <w:lang w:eastAsia="es-CO"/>
              </w:rPr>
              <w:t xml:space="preserve">-                  43,473 </w:t>
            </w:r>
          </w:p>
        </w:tc>
        <w:tc>
          <w:tcPr>
            <w:tcW w:w="1424" w:type="dxa"/>
            <w:tcBorders>
              <w:top w:val="nil"/>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u w:val="single"/>
                <w:lang w:eastAsia="es-CO"/>
              </w:rPr>
            </w:pPr>
            <w:r w:rsidRPr="007F01D4">
              <w:rPr>
                <w:rFonts w:ascii="Calibri" w:eastAsia="Times New Roman" w:hAnsi="Calibri" w:cs="Times New Roman"/>
                <w:color w:val="000000"/>
                <w:u w:val="single"/>
                <w:lang w:eastAsia="es-CO"/>
              </w:rPr>
              <w:t xml:space="preserve">-            38,547 </w:t>
            </w:r>
          </w:p>
        </w:tc>
      </w:tr>
      <w:tr w:rsidR="007F01D4" w:rsidRPr="007F01D4" w:rsidTr="007F01D4">
        <w:trPr>
          <w:trHeight w:val="167"/>
        </w:trPr>
        <w:tc>
          <w:tcPr>
            <w:tcW w:w="5048" w:type="dxa"/>
            <w:tcBorders>
              <w:top w:val="nil"/>
              <w:left w:val="single" w:sz="4" w:space="0" w:color="auto"/>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color w:val="000000"/>
                <w:lang w:eastAsia="es-CO"/>
              </w:rPr>
            </w:pPr>
            <w:r w:rsidRPr="007F01D4">
              <w:rPr>
                <w:rFonts w:ascii="Calibri" w:eastAsia="Times New Roman" w:hAnsi="Calibri" w:cs="Times New Roman"/>
                <w:color w:val="000000"/>
                <w:lang w:eastAsia="es-CO"/>
              </w:rPr>
              <w:t>Anticipos reembolsables, fin de año</w:t>
            </w:r>
          </w:p>
        </w:tc>
        <w:tc>
          <w:tcPr>
            <w:tcW w:w="1738" w:type="dxa"/>
            <w:tcBorders>
              <w:top w:val="nil"/>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b/>
                <w:bCs/>
                <w:color w:val="000000"/>
                <w:lang w:eastAsia="es-CO"/>
              </w:rPr>
            </w:pPr>
            <w:r w:rsidRPr="007F01D4">
              <w:rPr>
                <w:rFonts w:ascii="Calibri" w:eastAsia="Times New Roman" w:hAnsi="Calibri" w:cs="Times New Roman"/>
                <w:b/>
                <w:bCs/>
                <w:color w:val="000000"/>
                <w:lang w:eastAsia="es-CO"/>
              </w:rPr>
              <w:t xml:space="preserve">                     2,132 </w:t>
            </w:r>
          </w:p>
        </w:tc>
        <w:tc>
          <w:tcPr>
            <w:tcW w:w="1424" w:type="dxa"/>
            <w:tcBorders>
              <w:top w:val="nil"/>
              <w:left w:val="nil"/>
              <w:bottom w:val="single" w:sz="4" w:space="0" w:color="auto"/>
              <w:right w:val="single" w:sz="4" w:space="0" w:color="auto"/>
            </w:tcBorders>
            <w:shd w:val="clear" w:color="auto" w:fill="auto"/>
            <w:noWrap/>
            <w:vAlign w:val="bottom"/>
            <w:hideMark/>
          </w:tcPr>
          <w:p w:rsidR="007F01D4" w:rsidRPr="007F01D4" w:rsidRDefault="007F01D4" w:rsidP="006F4761">
            <w:pPr>
              <w:spacing w:after="0" w:line="240" w:lineRule="auto"/>
              <w:jc w:val="both"/>
              <w:rPr>
                <w:rFonts w:ascii="Calibri" w:eastAsia="Times New Roman" w:hAnsi="Calibri" w:cs="Times New Roman"/>
                <w:b/>
                <w:bCs/>
                <w:color w:val="000000"/>
                <w:lang w:eastAsia="es-CO"/>
              </w:rPr>
            </w:pPr>
            <w:r w:rsidRPr="007F01D4">
              <w:rPr>
                <w:rFonts w:ascii="Calibri" w:eastAsia="Times New Roman" w:hAnsi="Calibri" w:cs="Times New Roman"/>
                <w:b/>
                <w:bCs/>
                <w:color w:val="000000"/>
                <w:lang w:eastAsia="es-CO"/>
              </w:rPr>
              <w:t xml:space="preserve">                      -   </w:t>
            </w:r>
          </w:p>
        </w:tc>
      </w:tr>
    </w:tbl>
    <w:p w:rsidR="007F01D4" w:rsidRDefault="007F01D4" w:rsidP="006F4761">
      <w:pPr>
        <w:jc w:val="both"/>
        <w:rPr>
          <w:rFonts w:ascii="Arial" w:hAnsi="Arial" w:cs="Arial"/>
          <w:b/>
        </w:rPr>
      </w:pPr>
    </w:p>
    <w:p w:rsidR="007F01D4" w:rsidRDefault="007F01D4" w:rsidP="006F4761">
      <w:pPr>
        <w:jc w:val="both"/>
        <w:rPr>
          <w:rFonts w:ascii="Arial" w:hAnsi="Arial" w:cs="Arial"/>
          <w:b/>
        </w:rPr>
      </w:pPr>
    </w:p>
    <w:p w:rsidR="007F01D4" w:rsidRPr="007F01D4" w:rsidRDefault="007F01D4" w:rsidP="006F4761">
      <w:pPr>
        <w:jc w:val="both"/>
        <w:rPr>
          <w:rFonts w:ascii="Arial" w:hAnsi="Arial" w:cs="Arial"/>
          <w:b/>
        </w:rPr>
      </w:pPr>
    </w:p>
    <w:p w:rsidR="007F01D4" w:rsidRDefault="007F01D4" w:rsidP="006F4761">
      <w:pPr>
        <w:pStyle w:val="Default"/>
        <w:jc w:val="both"/>
        <w:rPr>
          <w:b/>
          <w:sz w:val="22"/>
          <w:szCs w:val="22"/>
        </w:rPr>
      </w:pPr>
      <w:r w:rsidRPr="007F01D4">
        <w:rPr>
          <w:b/>
          <w:sz w:val="22"/>
          <w:szCs w:val="22"/>
        </w:rPr>
        <w:t xml:space="preserve">NOTA I — DESCRIPCIÓN DE LOS ACUERDOS DE ARRENDAMIENTO </w:t>
      </w:r>
    </w:p>
    <w:p w:rsidR="007F01D4" w:rsidRPr="007F01D4" w:rsidRDefault="007F01D4" w:rsidP="006F4761">
      <w:pPr>
        <w:pStyle w:val="Default"/>
        <w:jc w:val="both"/>
        <w:rPr>
          <w:b/>
          <w:sz w:val="22"/>
          <w:szCs w:val="22"/>
        </w:rPr>
      </w:pPr>
    </w:p>
    <w:p w:rsidR="007F01D4" w:rsidRPr="007F01D4" w:rsidRDefault="007F01D4" w:rsidP="006F4761">
      <w:pPr>
        <w:pStyle w:val="Default"/>
        <w:jc w:val="both"/>
        <w:rPr>
          <w:b/>
          <w:sz w:val="22"/>
          <w:szCs w:val="22"/>
        </w:rPr>
      </w:pPr>
    </w:p>
    <w:p w:rsidR="007F01D4" w:rsidRDefault="007F01D4" w:rsidP="006F4761">
      <w:pPr>
        <w:pStyle w:val="Default"/>
        <w:jc w:val="both"/>
        <w:rPr>
          <w:sz w:val="22"/>
          <w:szCs w:val="22"/>
        </w:rPr>
      </w:pPr>
      <w:r w:rsidRPr="007F01D4">
        <w:rPr>
          <w:sz w:val="22"/>
          <w:szCs w:val="22"/>
        </w:rPr>
        <w:lastRenderedPageBreak/>
        <w:t xml:space="preserve">Las instalaciones utilizadas actualmente para proporcionar vivienda para los hombres se encuentran bajo un acuerdo de arrendamiento a corto plazo. </w:t>
      </w:r>
    </w:p>
    <w:p w:rsidR="007F01D4" w:rsidRDefault="007F01D4" w:rsidP="006F4761">
      <w:pPr>
        <w:pStyle w:val="Default"/>
        <w:jc w:val="both"/>
        <w:rPr>
          <w:sz w:val="22"/>
          <w:szCs w:val="22"/>
        </w:rPr>
      </w:pPr>
    </w:p>
    <w:p w:rsidR="007F01D4" w:rsidRDefault="007F01D4" w:rsidP="006F4761">
      <w:pPr>
        <w:pStyle w:val="Default"/>
        <w:jc w:val="both"/>
        <w:rPr>
          <w:sz w:val="22"/>
          <w:szCs w:val="22"/>
        </w:rPr>
      </w:pPr>
    </w:p>
    <w:p w:rsidR="007F01D4" w:rsidRPr="007F01D4" w:rsidRDefault="007F01D4" w:rsidP="006F4761">
      <w:pPr>
        <w:pStyle w:val="Default"/>
        <w:jc w:val="both"/>
        <w:rPr>
          <w:sz w:val="22"/>
          <w:szCs w:val="22"/>
        </w:rPr>
      </w:pPr>
    </w:p>
    <w:p w:rsidR="007F01D4" w:rsidRDefault="007F01D4" w:rsidP="006F4761">
      <w:pPr>
        <w:pStyle w:val="Default"/>
        <w:jc w:val="both"/>
        <w:rPr>
          <w:b/>
          <w:sz w:val="22"/>
          <w:szCs w:val="22"/>
        </w:rPr>
      </w:pPr>
      <w:r w:rsidRPr="007F01D4">
        <w:rPr>
          <w:b/>
          <w:sz w:val="22"/>
          <w:szCs w:val="22"/>
        </w:rPr>
        <w:t xml:space="preserve">NOTA J – NOTA AL ESTADO DE FLUJOS DE EFECTIVO </w:t>
      </w:r>
    </w:p>
    <w:p w:rsidR="007F01D4" w:rsidRPr="007F01D4" w:rsidRDefault="007F01D4" w:rsidP="006F4761">
      <w:pPr>
        <w:pStyle w:val="Default"/>
        <w:jc w:val="both"/>
        <w:rPr>
          <w:b/>
          <w:sz w:val="22"/>
          <w:szCs w:val="22"/>
        </w:rPr>
      </w:pPr>
    </w:p>
    <w:p w:rsidR="007F01D4" w:rsidRPr="007F01D4" w:rsidRDefault="007F01D4" w:rsidP="006F4761">
      <w:pPr>
        <w:pStyle w:val="Default"/>
        <w:jc w:val="both"/>
        <w:rPr>
          <w:sz w:val="22"/>
          <w:szCs w:val="22"/>
        </w:rPr>
      </w:pPr>
    </w:p>
    <w:p w:rsidR="0025171E" w:rsidRDefault="007F01D4" w:rsidP="006F4761">
      <w:pPr>
        <w:jc w:val="both"/>
        <w:rPr>
          <w:rFonts w:ascii="Arial" w:hAnsi="Arial" w:cs="Arial"/>
        </w:rPr>
      </w:pPr>
      <w:r w:rsidRPr="007F01D4">
        <w:rPr>
          <w:rFonts w:ascii="Arial" w:hAnsi="Arial" w:cs="Arial"/>
        </w:rPr>
        <w:t>Las inversiones no monetarias y actividades de financiación en 20X7 consisten en financiar el costo de la adquisición de una copiadora a través de un préstamo de largo plazo de $5.251, pagadero al Banco Nuevo. No hubo ninguna actividad de esta naturaleza en 20X6.</w:t>
      </w:r>
    </w:p>
    <w:sectPr w:rsidR="002517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25"/>
    <w:rsid w:val="0025171E"/>
    <w:rsid w:val="004D0E7A"/>
    <w:rsid w:val="00571BAD"/>
    <w:rsid w:val="006E700A"/>
    <w:rsid w:val="006F4761"/>
    <w:rsid w:val="007F01D4"/>
    <w:rsid w:val="00832225"/>
    <w:rsid w:val="00910EEF"/>
    <w:rsid w:val="00935EA7"/>
    <w:rsid w:val="00974525"/>
    <w:rsid w:val="00B0621F"/>
    <w:rsid w:val="00B47ACC"/>
    <w:rsid w:val="00CD5F62"/>
    <w:rsid w:val="00F767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328FE-F32F-4329-9070-A5A5B18A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10EE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B4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561">
      <w:bodyDiv w:val="1"/>
      <w:marLeft w:val="0"/>
      <w:marRight w:val="0"/>
      <w:marTop w:val="0"/>
      <w:marBottom w:val="0"/>
      <w:divBdr>
        <w:top w:val="none" w:sz="0" w:space="0" w:color="auto"/>
        <w:left w:val="none" w:sz="0" w:space="0" w:color="auto"/>
        <w:bottom w:val="none" w:sz="0" w:space="0" w:color="auto"/>
        <w:right w:val="none" w:sz="0" w:space="0" w:color="auto"/>
      </w:divBdr>
    </w:div>
    <w:div w:id="113015915">
      <w:bodyDiv w:val="1"/>
      <w:marLeft w:val="0"/>
      <w:marRight w:val="0"/>
      <w:marTop w:val="0"/>
      <w:marBottom w:val="0"/>
      <w:divBdr>
        <w:top w:val="none" w:sz="0" w:space="0" w:color="auto"/>
        <w:left w:val="none" w:sz="0" w:space="0" w:color="auto"/>
        <w:bottom w:val="none" w:sz="0" w:space="0" w:color="auto"/>
        <w:right w:val="none" w:sz="0" w:space="0" w:color="auto"/>
      </w:divBdr>
    </w:div>
    <w:div w:id="447890394">
      <w:bodyDiv w:val="1"/>
      <w:marLeft w:val="0"/>
      <w:marRight w:val="0"/>
      <w:marTop w:val="0"/>
      <w:marBottom w:val="0"/>
      <w:divBdr>
        <w:top w:val="none" w:sz="0" w:space="0" w:color="auto"/>
        <w:left w:val="none" w:sz="0" w:space="0" w:color="auto"/>
        <w:bottom w:val="none" w:sz="0" w:space="0" w:color="auto"/>
        <w:right w:val="none" w:sz="0" w:space="0" w:color="auto"/>
      </w:divBdr>
    </w:div>
    <w:div w:id="462775256">
      <w:bodyDiv w:val="1"/>
      <w:marLeft w:val="0"/>
      <w:marRight w:val="0"/>
      <w:marTop w:val="0"/>
      <w:marBottom w:val="0"/>
      <w:divBdr>
        <w:top w:val="none" w:sz="0" w:space="0" w:color="auto"/>
        <w:left w:val="none" w:sz="0" w:space="0" w:color="auto"/>
        <w:bottom w:val="none" w:sz="0" w:space="0" w:color="auto"/>
        <w:right w:val="none" w:sz="0" w:space="0" w:color="auto"/>
      </w:divBdr>
    </w:div>
    <w:div w:id="1278676680">
      <w:bodyDiv w:val="1"/>
      <w:marLeft w:val="0"/>
      <w:marRight w:val="0"/>
      <w:marTop w:val="0"/>
      <w:marBottom w:val="0"/>
      <w:divBdr>
        <w:top w:val="none" w:sz="0" w:space="0" w:color="auto"/>
        <w:left w:val="none" w:sz="0" w:space="0" w:color="auto"/>
        <w:bottom w:val="none" w:sz="0" w:space="0" w:color="auto"/>
        <w:right w:val="none" w:sz="0" w:space="0" w:color="auto"/>
      </w:divBdr>
    </w:div>
    <w:div w:id="1852647743">
      <w:bodyDiv w:val="1"/>
      <w:marLeft w:val="0"/>
      <w:marRight w:val="0"/>
      <w:marTop w:val="0"/>
      <w:marBottom w:val="0"/>
      <w:divBdr>
        <w:top w:val="none" w:sz="0" w:space="0" w:color="auto"/>
        <w:left w:val="none" w:sz="0" w:space="0" w:color="auto"/>
        <w:bottom w:val="none" w:sz="0" w:space="0" w:color="auto"/>
        <w:right w:val="none" w:sz="0" w:space="0" w:color="auto"/>
      </w:divBdr>
    </w:div>
    <w:div w:id="1971130051">
      <w:bodyDiv w:val="1"/>
      <w:marLeft w:val="0"/>
      <w:marRight w:val="0"/>
      <w:marTop w:val="0"/>
      <w:marBottom w:val="0"/>
      <w:divBdr>
        <w:top w:val="none" w:sz="0" w:space="0" w:color="auto"/>
        <w:left w:val="none" w:sz="0" w:space="0" w:color="auto"/>
        <w:bottom w:val="none" w:sz="0" w:space="0" w:color="auto"/>
        <w:right w:val="none" w:sz="0" w:space="0" w:color="auto"/>
      </w:divBdr>
    </w:div>
    <w:div w:id="2020084567">
      <w:bodyDiv w:val="1"/>
      <w:marLeft w:val="0"/>
      <w:marRight w:val="0"/>
      <w:marTop w:val="0"/>
      <w:marBottom w:val="0"/>
      <w:divBdr>
        <w:top w:val="none" w:sz="0" w:space="0" w:color="auto"/>
        <w:left w:val="none" w:sz="0" w:space="0" w:color="auto"/>
        <w:bottom w:val="none" w:sz="0" w:space="0" w:color="auto"/>
        <w:right w:val="none" w:sz="0" w:space="0" w:color="auto"/>
      </w:divBdr>
    </w:div>
    <w:div w:id="20214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8</Pages>
  <Words>2441</Words>
  <Characters>13431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 SAS</dc:creator>
  <cp:keywords/>
  <dc:description/>
  <cp:lastModifiedBy>Acc SAS</cp:lastModifiedBy>
  <cp:revision>7</cp:revision>
  <dcterms:created xsi:type="dcterms:W3CDTF">2018-02-20T14:37:00Z</dcterms:created>
  <dcterms:modified xsi:type="dcterms:W3CDTF">2018-02-28T12:39:00Z</dcterms:modified>
</cp:coreProperties>
</file>